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0"/>
        <w:spacing w:before="0" w:line="275.9999942779541" w:lineRule="auto"/>
        <w:rPr>
          <w:b w:val="1"/>
          <w:bCs w:val="1"/>
        </w:rPr>
      </w:pPr>
      <w:bookmarkStart w:colFirst="0" w:colLast="0" w:name="_pknrwf628hqa" w:id="0"/>
      <w:bookmarkEnd w:id="0"/>
      <w:r w:rsidDel="00000000" w:rsidR="00000000" w:rsidRPr="00000000">
        <w:rPr>
          <w:b w:val="1"/>
          <w:bCs w:val="1"/>
          <w:rtl w:val="0"/>
        </w:rPr>
        <w:t xml:space="preserve">Resource 1: Communications Toolkit</w:t>
      </w:r>
    </w:p>
    <w:p w:rsidR="00000000" w:rsidDel="00000000" w:rsidP="00000000" w:rsidRDefault="00000000" w:rsidRPr="00000000" w14:paraId="00000002">
      <w:pPr>
        <w:widowControl w:val="0"/>
        <w:spacing w:after="150" w:line="275.9999942779541" w:lineRule="auto"/>
        <w:rPr>
          <w:color w:val="1f1f1f"/>
        </w:rPr>
      </w:pPr>
      <w:r w:rsidDel="00000000" w:rsidR="00000000" w:rsidRPr="00000000">
        <w:rPr>
          <w:color w:val="1f1f1f"/>
          <w:rtl w:val="0"/>
        </w:rPr>
        <w:t xml:space="preserve">Welcome to your communications toolkit. We have designed these resources to help you easily and effectively launch the Technology and AI in Schools survey across your school or trust.</w:t>
      </w:r>
    </w:p>
    <w:p w:rsidR="00000000" w:rsidDel="00000000" w:rsidP="00000000" w:rsidRDefault="00000000" w:rsidRPr="00000000" w14:paraId="00000003">
      <w:pPr>
        <w:widowControl w:val="0"/>
        <w:spacing w:after="150" w:line="275.9999942779541" w:lineRule="auto"/>
        <w:rPr>
          <w:b w:val="1"/>
          <w:bCs w:val="1"/>
          <w:color w:val="00b57d"/>
          <w:sz w:val="46"/>
          <w:szCs w:val="46"/>
        </w:rPr>
      </w:pPr>
      <w:r w:rsidDel="00000000" w:rsidR="00000000" w:rsidRPr="00000000">
        <w:rPr>
          <w:b w:val="1"/>
          <w:bCs w:val="1"/>
          <w:color w:val="00b57d"/>
          <w:sz w:val="46"/>
          <w:szCs w:val="46"/>
          <w:rtl w:val="0"/>
        </w:rPr>
        <w:t xml:space="preserve">Instructions on how to use this toolkit:</w:t>
      </w:r>
    </w:p>
    <w:p w:rsidR="00000000" w:rsidDel="00000000" w:rsidP="00000000" w:rsidRDefault="00000000" w:rsidRPr="00000000" w14:paraId="00000004">
      <w:pPr>
        <w:widowControl w:val="0"/>
        <w:spacing w:after="120" w:line="275.9999942779541" w:lineRule="auto"/>
        <w:rPr>
          <w:color w:val="1f1f1f"/>
        </w:rPr>
      </w:pPr>
      <w:r w:rsidDel="00000000" w:rsidR="00000000" w:rsidRPr="00000000">
        <w:rPr>
          <w:b w:val="1"/>
          <w:bCs w:val="1"/>
          <w:color w:val="1f1f1f"/>
          <w:sz w:val="28"/>
          <w:szCs w:val="28"/>
          <w:rtl w:val="0"/>
        </w:rPr>
        <w:t xml:space="preserve">Resource 1: Quick facts and talking points “Cheat sheet”</w:t>
      </w:r>
      <w:r w:rsidDel="00000000" w:rsidR="00000000" w:rsidRPr="00000000">
        <w:rPr>
          <w:sz w:val="28"/>
          <w:szCs w:val="28"/>
          <w:rtl w:val="0"/>
        </w:rPr>
        <w:br w:type="textWrapping"/>
      </w:r>
      <w:r w:rsidDel="00000000" w:rsidR="00000000" w:rsidRPr="00000000">
        <w:rPr>
          <w:color w:val="1f1f1f"/>
          <w:rtl w:val="0"/>
        </w:rPr>
        <w:t xml:space="preserve">Use this as your go-to document for talking about the survey with your leadership team and teaching staff.</w:t>
      </w:r>
    </w:p>
    <w:p w:rsidR="00000000" w:rsidDel="00000000" w:rsidP="00000000" w:rsidRDefault="00000000" w:rsidRPr="00000000" w14:paraId="00000005">
      <w:pPr>
        <w:widowControl w:val="0"/>
        <w:spacing w:after="120" w:line="275.9999942779541" w:lineRule="auto"/>
        <w:rPr>
          <w:color w:val="1f1f1f"/>
        </w:rPr>
      </w:pPr>
      <w:r w:rsidDel="00000000" w:rsidR="00000000" w:rsidRPr="00000000">
        <w:rPr>
          <w:rtl w:val="0"/>
        </w:rPr>
      </w:r>
    </w:p>
    <w:p w:rsidR="00000000" w:rsidDel="00000000" w:rsidP="00000000" w:rsidRDefault="00000000" w:rsidRPr="00000000" w14:paraId="00000006">
      <w:pPr>
        <w:widowControl w:val="0"/>
        <w:spacing w:after="120" w:before="120" w:line="275.9999942779541" w:lineRule="auto"/>
        <w:rPr>
          <w:color w:val="1f1f1f"/>
        </w:rPr>
      </w:pPr>
      <w:r w:rsidDel="00000000" w:rsidR="00000000" w:rsidRPr="00000000">
        <w:rPr>
          <w:b w:val="1"/>
          <w:bCs w:val="1"/>
          <w:color w:val="1f1f1f"/>
          <w:sz w:val="28"/>
          <w:szCs w:val="28"/>
          <w:rtl w:val="0"/>
        </w:rPr>
        <w:t xml:space="preserve">Resource 2: CTA Poster</w:t>
      </w:r>
      <w:r w:rsidDel="00000000" w:rsidR="00000000" w:rsidRPr="00000000">
        <w:rPr>
          <w:sz w:val="28"/>
          <w:szCs w:val="28"/>
          <w:rtl w:val="0"/>
        </w:rPr>
        <w:br w:type="textWrapping"/>
      </w:r>
      <w:r w:rsidDel="00000000" w:rsidR="00000000" w:rsidRPr="00000000">
        <w:rPr>
          <w:color w:val="1f1f1f"/>
          <w:rtl w:val="0"/>
        </w:rPr>
        <w:t xml:space="preserve">Use this as an informative call to action for teachers. Print it for the staff room or share it digitally via your internal communication platforms.</w:t>
      </w:r>
    </w:p>
    <w:p w:rsidR="00000000" w:rsidDel="00000000" w:rsidP="00000000" w:rsidRDefault="00000000" w:rsidRPr="00000000" w14:paraId="00000007">
      <w:pPr>
        <w:widowControl w:val="0"/>
        <w:spacing w:after="120" w:before="120" w:line="275.9999942779541" w:lineRule="auto"/>
        <w:rPr>
          <w:color w:val="1f1f1f"/>
        </w:rPr>
      </w:pPr>
      <w:r w:rsidDel="00000000" w:rsidR="00000000" w:rsidRPr="00000000">
        <w:rPr>
          <w:rtl w:val="0"/>
        </w:rPr>
      </w:r>
    </w:p>
    <w:p w:rsidR="00000000" w:rsidDel="00000000" w:rsidP="00000000" w:rsidRDefault="00000000" w:rsidRPr="00000000" w14:paraId="00000008">
      <w:pPr>
        <w:widowControl w:val="0"/>
        <w:spacing w:after="120" w:before="120" w:line="275.9999942779541" w:lineRule="auto"/>
        <w:rPr>
          <w:color w:val="1f1f1f"/>
        </w:rPr>
      </w:pPr>
      <w:r w:rsidDel="00000000" w:rsidR="00000000" w:rsidRPr="00000000">
        <w:rPr>
          <w:b w:val="1"/>
          <w:bCs w:val="1"/>
          <w:color w:val="1f1f1f"/>
          <w:sz w:val="28"/>
          <w:szCs w:val="28"/>
          <w:rtl w:val="0"/>
        </w:rPr>
        <w:t xml:space="preserve">Resource 3: Messages to teachers</w:t>
      </w:r>
      <w:r w:rsidDel="00000000" w:rsidR="00000000" w:rsidRPr="00000000">
        <w:rPr>
          <w:sz w:val="28"/>
          <w:szCs w:val="28"/>
          <w:rtl w:val="0"/>
        </w:rPr>
        <w:br w:type="textWrapping"/>
      </w:r>
      <w:r w:rsidDel="00000000" w:rsidR="00000000" w:rsidRPr="00000000">
        <w:rPr>
          <w:color w:val="1f1f1f"/>
          <w:rtl w:val="0"/>
        </w:rPr>
        <w:t xml:space="preserve">We’ve prepared four short message templates for you to use as you communicate the importance of the survey. Send each message via email or your staff communication platform as you progress through the pre-launch, launch, and closing periods.</w:t>
      </w:r>
    </w:p>
    <w:p w:rsidR="00000000" w:rsidDel="00000000" w:rsidP="00000000" w:rsidRDefault="00000000" w:rsidRPr="00000000" w14:paraId="00000009">
      <w:pPr>
        <w:pStyle w:val="Heading2"/>
        <w:keepNext w:val="0"/>
        <w:keepLines w:val="0"/>
        <w:widowControl w:val="0"/>
        <w:spacing w:after="120" w:before="120" w:line="275.9999942779541" w:lineRule="auto"/>
        <w:rPr>
          <w:color w:val="1f1f1f"/>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2"/>
        <w:keepNext w:val="0"/>
        <w:keepLines w:val="0"/>
        <w:widowControl w:val="0"/>
        <w:spacing w:after="120" w:before="120" w:line="275.9999942779541" w:lineRule="auto"/>
        <w:rPr>
          <w:sz w:val="46"/>
          <w:szCs w:val="46"/>
        </w:rPr>
      </w:pPr>
      <w:r w:rsidDel="00000000" w:rsidR="00000000" w:rsidRPr="00000000">
        <w:rPr>
          <w:sz w:val="46"/>
          <w:szCs w:val="46"/>
          <w:rtl w:val="0"/>
        </w:rPr>
        <w:t xml:space="preserve">Quick facts and talking points “Cheat sheet”</w:t>
      </w:r>
    </w:p>
    <w:p w:rsidR="00000000" w:rsidDel="00000000" w:rsidP="00000000" w:rsidRDefault="00000000" w:rsidRPr="00000000" w14:paraId="0000000B">
      <w:pPr>
        <w:widowControl w:val="0"/>
        <w:spacing w:after="150" w:line="275.9999942779541" w:lineRule="auto"/>
        <w:rPr>
          <w:color w:val="1f1f1f"/>
        </w:rPr>
      </w:pPr>
      <w:r w:rsidDel="00000000" w:rsidR="00000000" w:rsidRPr="00000000">
        <w:rPr>
          <w:color w:val="1f1f1f"/>
          <w:rtl w:val="0"/>
        </w:rPr>
        <w:t xml:space="preserve">Use these quick facts and talking points to help secure buy-in from your leadership and encourage high participation rates from your teaching staff.</w:t>
      </w:r>
    </w:p>
    <w:p w:rsidR="00000000" w:rsidDel="00000000" w:rsidP="00000000" w:rsidRDefault="00000000" w:rsidRPr="00000000" w14:paraId="0000000C">
      <w:pPr>
        <w:pStyle w:val="Heading3"/>
        <w:keepNext w:val="0"/>
        <w:keepLines w:val="0"/>
        <w:widowControl w:val="0"/>
        <w:spacing w:after="120" w:before="0" w:line="275.9999942779541" w:lineRule="auto"/>
        <w:rPr>
          <w:b w:val="1"/>
          <w:bCs w:val="1"/>
          <w:color w:val="1f1f1f"/>
        </w:rPr>
      </w:pPr>
      <w:r w:rsidDel="00000000" w:rsidR="00000000" w:rsidRPr="00000000">
        <w:rPr>
          <w:b w:val="1"/>
          <w:bCs w:val="1"/>
          <w:color w:val="1f1f1f"/>
          <w:rtl w:val="0"/>
        </w:rPr>
        <w:t xml:space="preserve">Quick Facts to Share</w:t>
      </w:r>
    </w:p>
    <w:p w:rsidR="00000000" w:rsidDel="00000000" w:rsidP="00000000" w:rsidRDefault="00000000" w:rsidRPr="00000000" w14:paraId="0000000D">
      <w:pPr>
        <w:widowControl w:val="0"/>
        <w:numPr>
          <w:ilvl w:val="0"/>
          <w:numId w:val="1"/>
        </w:numPr>
        <w:spacing w:after="0" w:afterAutospacing="0" w:line="275.9999942779541" w:lineRule="auto"/>
        <w:ind w:left="570" w:hanging="360"/>
        <w:rPr>
          <w:rFonts w:ascii="Arial" w:cs="Arial" w:eastAsia="Arial" w:hAnsi="Arial"/>
        </w:rPr>
      </w:pPr>
      <w:r w:rsidDel="00000000" w:rsidR="00000000" w:rsidRPr="00000000">
        <w:rPr>
          <w:b w:val="1"/>
          <w:bCs w:val="1"/>
          <w:color w:val="1f1f1f"/>
          <w:rtl w:val="0"/>
        </w:rPr>
        <w:t xml:space="preserve">What it is:</w:t>
      </w:r>
      <w:r w:rsidDel="00000000" w:rsidR="00000000" w:rsidRPr="00000000">
        <w:rPr>
          <w:color w:val="1f1f1f"/>
          <w:rtl w:val="0"/>
        </w:rPr>
        <w:t xml:space="preserve"> This survey is designed for teachers to explore how digital technology and AI are used in teaching and learning.</w:t>
      </w:r>
      <w:r w:rsidDel="00000000" w:rsidR="00000000" w:rsidRPr="00000000">
        <w:rPr>
          <w:rtl w:val="0"/>
        </w:rPr>
      </w:r>
    </w:p>
    <w:p w:rsidR="00000000" w:rsidDel="00000000" w:rsidP="00000000" w:rsidRDefault="00000000" w:rsidRPr="00000000" w14:paraId="0000000E">
      <w:pPr>
        <w:widowControl w:val="0"/>
        <w:numPr>
          <w:ilvl w:val="0"/>
          <w:numId w:val="1"/>
        </w:numPr>
        <w:spacing w:after="0" w:afterAutospacing="0" w:before="0" w:beforeAutospacing="0" w:line="275.9999942779541" w:lineRule="auto"/>
        <w:ind w:left="570" w:hanging="360"/>
        <w:rPr>
          <w:rFonts w:ascii="Arial" w:cs="Arial" w:eastAsia="Arial" w:hAnsi="Arial"/>
        </w:rPr>
      </w:pPr>
      <w:r w:rsidDel="00000000" w:rsidR="00000000" w:rsidRPr="00000000">
        <w:rPr>
          <w:b w:val="1"/>
          <w:bCs w:val="1"/>
          <w:color w:val="1f1f1f"/>
          <w:rtl w:val="0"/>
        </w:rPr>
        <w:t xml:space="preserve">The goal:</w:t>
      </w:r>
      <w:r w:rsidDel="00000000" w:rsidR="00000000" w:rsidRPr="00000000">
        <w:rPr>
          <w:color w:val="1f1f1f"/>
          <w:rtl w:val="0"/>
        </w:rPr>
        <w:t xml:space="preserve"> By encouraging teachers to take part, you are contributing to an honest, evidence-based picture of how technology and AI are really being experienced in UK classrooms.</w:t>
      </w:r>
      <w:r w:rsidDel="00000000" w:rsidR="00000000" w:rsidRPr="00000000">
        <w:rPr>
          <w:rtl w:val="0"/>
        </w:rPr>
      </w:r>
    </w:p>
    <w:p w:rsidR="00000000" w:rsidDel="00000000" w:rsidP="00000000" w:rsidRDefault="00000000" w:rsidRPr="00000000" w14:paraId="0000000F">
      <w:pPr>
        <w:widowControl w:val="0"/>
        <w:numPr>
          <w:ilvl w:val="0"/>
          <w:numId w:val="1"/>
        </w:numPr>
        <w:spacing w:after="0" w:afterAutospacing="0" w:before="0" w:beforeAutospacing="0" w:line="275.9999942779541" w:lineRule="auto"/>
        <w:ind w:left="570" w:hanging="360"/>
        <w:rPr>
          <w:rFonts w:ascii="Arial" w:cs="Arial" w:eastAsia="Arial" w:hAnsi="Arial"/>
        </w:rPr>
      </w:pPr>
      <w:r w:rsidDel="00000000" w:rsidR="00000000" w:rsidRPr="00000000">
        <w:rPr>
          <w:b w:val="1"/>
          <w:bCs w:val="1"/>
          <w:color w:val="1f1f1f"/>
          <w:rtl w:val="0"/>
        </w:rPr>
        <w:t xml:space="preserve">The scope:</w:t>
      </w:r>
      <w:r w:rsidDel="00000000" w:rsidR="00000000" w:rsidRPr="00000000">
        <w:rPr>
          <w:color w:val="1f1f1f"/>
          <w:rtl w:val="0"/>
        </w:rPr>
        <w:t xml:space="preserve"> The survey covers device access, technical reliability, AI adoption, digital homework equity, assistive technology, and professional confidence.</w:t>
      </w:r>
      <w:r w:rsidDel="00000000" w:rsidR="00000000" w:rsidRPr="00000000">
        <w:rPr>
          <w:rtl w:val="0"/>
        </w:rPr>
      </w:r>
    </w:p>
    <w:p w:rsidR="00000000" w:rsidDel="00000000" w:rsidP="00000000" w:rsidRDefault="00000000" w:rsidRPr="00000000" w14:paraId="00000010">
      <w:pPr>
        <w:widowControl w:val="0"/>
        <w:numPr>
          <w:ilvl w:val="0"/>
          <w:numId w:val="1"/>
        </w:numPr>
        <w:spacing w:after="120" w:before="0" w:beforeAutospacing="0" w:line="275.9999942779541" w:lineRule="auto"/>
        <w:ind w:left="570" w:hanging="360"/>
        <w:rPr>
          <w:rFonts w:ascii="Arial" w:cs="Arial" w:eastAsia="Arial" w:hAnsi="Arial"/>
        </w:rPr>
      </w:pPr>
      <w:r w:rsidDel="00000000" w:rsidR="00000000" w:rsidRPr="00000000">
        <w:rPr>
          <w:b w:val="1"/>
          <w:bCs w:val="1"/>
          <w:color w:val="1f1f1f"/>
          <w:rtl w:val="0"/>
        </w:rPr>
        <w:t xml:space="preserve">The details:</w:t>
      </w:r>
      <w:r w:rsidDel="00000000" w:rsidR="00000000" w:rsidRPr="00000000">
        <w:rPr>
          <w:color w:val="1f1f1f"/>
          <w:rtl w:val="0"/>
        </w:rPr>
        <w:t xml:space="preserve"> It takes around 15 minutes to complete and responses are completely anonymous.</w:t>
      </w:r>
      <w:r w:rsidDel="00000000" w:rsidR="00000000" w:rsidRPr="00000000">
        <w:rPr>
          <w:rtl w:val="0"/>
        </w:rPr>
      </w:r>
    </w:p>
    <w:p w:rsidR="00000000" w:rsidDel="00000000" w:rsidP="00000000" w:rsidRDefault="00000000" w:rsidRPr="00000000" w14:paraId="00000011">
      <w:pPr>
        <w:pStyle w:val="Heading3"/>
        <w:keepNext w:val="0"/>
        <w:keepLines w:val="0"/>
        <w:widowControl w:val="0"/>
        <w:spacing w:after="120" w:before="240" w:line="275.9999942779541" w:lineRule="auto"/>
        <w:rPr>
          <w:b w:val="1"/>
          <w:bCs w:val="1"/>
          <w:color w:val="1f1f1f"/>
        </w:rPr>
      </w:pPr>
      <w:r w:rsidDel="00000000" w:rsidR="00000000" w:rsidRPr="00000000">
        <w:rPr>
          <w:b w:val="1"/>
          <w:bCs w:val="1"/>
          <w:color w:val="1f1f1f"/>
          <w:rtl w:val="0"/>
        </w:rPr>
        <w:t xml:space="preserve">Talking Points: Briefing Your Leadership Team</w:t>
      </w:r>
    </w:p>
    <w:p w:rsidR="00000000" w:rsidDel="00000000" w:rsidP="00000000" w:rsidRDefault="00000000" w:rsidRPr="00000000" w14:paraId="00000012">
      <w:pPr>
        <w:widowControl w:val="0"/>
        <w:numPr>
          <w:ilvl w:val="0"/>
          <w:numId w:val="2"/>
        </w:numPr>
        <w:spacing w:after="0" w:afterAutospacing="0" w:line="275.9999942779541" w:lineRule="auto"/>
        <w:ind w:left="570" w:hanging="360"/>
        <w:rPr>
          <w:rFonts w:ascii="Arial" w:cs="Arial" w:eastAsia="Arial" w:hAnsi="Arial"/>
        </w:rPr>
      </w:pPr>
      <w:r w:rsidDel="00000000" w:rsidR="00000000" w:rsidRPr="00000000">
        <w:rPr>
          <w:b w:val="1"/>
          <w:bCs w:val="1"/>
          <w:color w:val="1f1f1f"/>
          <w:rtl w:val="0"/>
        </w:rPr>
        <w:t xml:space="preserve">Sharper strategy:</w:t>
      </w:r>
      <w:r w:rsidDel="00000000" w:rsidR="00000000" w:rsidRPr="00000000">
        <w:rPr>
          <w:color w:val="1f1f1f"/>
          <w:rtl w:val="0"/>
        </w:rPr>
        <w:t xml:space="preserve"> The results we get back will help us make investment decisions grounded in evidence rather than assumptions.</w:t>
      </w:r>
      <w:r w:rsidDel="00000000" w:rsidR="00000000" w:rsidRPr="00000000">
        <w:rPr>
          <w:rtl w:val="0"/>
        </w:rPr>
      </w:r>
    </w:p>
    <w:p w:rsidR="00000000" w:rsidDel="00000000" w:rsidP="00000000" w:rsidRDefault="00000000" w:rsidRPr="00000000" w14:paraId="00000013">
      <w:pPr>
        <w:widowControl w:val="0"/>
        <w:numPr>
          <w:ilvl w:val="0"/>
          <w:numId w:val="2"/>
        </w:numPr>
        <w:spacing w:after="0" w:afterAutospacing="0" w:before="0" w:beforeAutospacing="0" w:line="275.9999942779541" w:lineRule="auto"/>
        <w:ind w:left="570" w:hanging="360"/>
        <w:rPr>
          <w:rFonts w:ascii="Arial" w:cs="Arial" w:eastAsia="Arial" w:hAnsi="Arial"/>
        </w:rPr>
      </w:pPr>
      <w:r w:rsidDel="00000000" w:rsidR="00000000" w:rsidRPr="00000000">
        <w:rPr>
          <w:b w:val="1"/>
          <w:bCs w:val="1"/>
          <w:color w:val="1f1f1f"/>
          <w:rtl w:val="0"/>
        </w:rPr>
        <w:t xml:space="preserve">Targeted support:</w:t>
      </w:r>
      <w:r w:rsidDel="00000000" w:rsidR="00000000" w:rsidRPr="00000000">
        <w:rPr>
          <w:color w:val="1f1f1f"/>
          <w:rtl w:val="0"/>
        </w:rPr>
        <w:t xml:space="preserve"> By understanding our teachers' real experiences, we can design better-targeted professional development.</w:t>
      </w:r>
      <w:r w:rsidDel="00000000" w:rsidR="00000000" w:rsidRPr="00000000">
        <w:rPr>
          <w:rtl w:val="0"/>
        </w:rPr>
      </w:r>
    </w:p>
    <w:p w:rsidR="00000000" w:rsidDel="00000000" w:rsidP="00000000" w:rsidRDefault="00000000" w:rsidRPr="00000000" w14:paraId="00000014">
      <w:pPr>
        <w:widowControl w:val="0"/>
        <w:numPr>
          <w:ilvl w:val="0"/>
          <w:numId w:val="2"/>
        </w:numPr>
        <w:spacing w:after="120" w:before="0" w:beforeAutospacing="0" w:line="275.9999942779541" w:lineRule="auto"/>
        <w:ind w:left="570" w:hanging="360"/>
        <w:rPr>
          <w:rFonts w:ascii="Arial" w:cs="Arial" w:eastAsia="Arial" w:hAnsi="Arial"/>
        </w:rPr>
      </w:pPr>
      <w:r w:rsidDel="00000000" w:rsidR="00000000" w:rsidRPr="00000000">
        <w:rPr>
          <w:b w:val="1"/>
          <w:bCs w:val="1"/>
          <w:color w:val="1f1f1f"/>
          <w:rtl w:val="0"/>
        </w:rPr>
        <w:t xml:space="preserve">Visibility into the gaps:</w:t>
      </w:r>
      <w:r w:rsidDel="00000000" w:rsidR="00000000" w:rsidRPr="00000000">
        <w:rPr>
          <w:color w:val="1f1f1f"/>
          <w:rtl w:val="0"/>
        </w:rPr>
        <w:t xml:space="preserve"> This survey gives us visibility into the gaps that do not always make it into formal conversations, such as how often technical issues like Wi-Fi dropping actually disrupt lessons.</w:t>
      </w:r>
      <w:r w:rsidDel="00000000" w:rsidR="00000000" w:rsidRPr="00000000">
        <w:rPr>
          <w:rtl w:val="0"/>
        </w:rPr>
      </w:r>
    </w:p>
    <w:p w:rsidR="00000000" w:rsidDel="00000000" w:rsidP="00000000" w:rsidRDefault="00000000" w:rsidRPr="00000000" w14:paraId="00000015">
      <w:pPr>
        <w:pStyle w:val="Heading3"/>
        <w:keepNext w:val="0"/>
        <w:keepLines w:val="0"/>
        <w:widowControl w:val="0"/>
        <w:spacing w:after="120" w:before="240" w:line="275.9999942779541" w:lineRule="auto"/>
        <w:rPr>
          <w:b w:val="1"/>
          <w:bCs w:val="1"/>
          <w:color w:val="1f1f1f"/>
        </w:rPr>
      </w:pPr>
      <w:r w:rsidDel="00000000" w:rsidR="00000000" w:rsidRPr="00000000">
        <w:rPr>
          <w:b w:val="1"/>
          <w:bCs w:val="1"/>
          <w:color w:val="1f1f1f"/>
          <w:rtl w:val="0"/>
        </w:rPr>
        <w:t xml:space="preserve">Talking Points: Engaging Your Teachers</w:t>
      </w:r>
    </w:p>
    <w:p w:rsidR="00000000" w:rsidDel="00000000" w:rsidP="00000000" w:rsidRDefault="00000000" w:rsidRPr="00000000" w14:paraId="00000016">
      <w:pPr>
        <w:widowControl w:val="0"/>
        <w:numPr>
          <w:ilvl w:val="0"/>
          <w:numId w:val="3"/>
        </w:numPr>
        <w:spacing w:after="0" w:afterAutospacing="0" w:line="275.9999942779541" w:lineRule="auto"/>
        <w:ind w:left="570" w:hanging="360"/>
        <w:rPr>
          <w:rFonts w:ascii="Arial" w:cs="Arial" w:eastAsia="Arial" w:hAnsi="Arial"/>
        </w:rPr>
      </w:pPr>
      <w:r w:rsidDel="00000000" w:rsidR="00000000" w:rsidRPr="00000000">
        <w:rPr>
          <w:b w:val="1"/>
          <w:bCs w:val="1"/>
          <w:color w:val="1f1f1f"/>
          <w:rtl w:val="0"/>
        </w:rPr>
        <w:t xml:space="preserve">Your real experience matters:</w:t>
      </w:r>
      <w:r w:rsidDel="00000000" w:rsidR="00000000" w:rsidRPr="00000000">
        <w:rPr>
          <w:color w:val="1f1f1f"/>
          <w:rtl w:val="0"/>
        </w:rPr>
        <w:t xml:space="preserve"> There is a lot of talk about technology in education, but the experience of the people who actually work with it every day is rarely part of that conversation. We want to know what it is really like to teach with technology right now.</w:t>
      </w:r>
      <w:r w:rsidDel="00000000" w:rsidR="00000000" w:rsidRPr="00000000">
        <w:rPr>
          <w:rtl w:val="0"/>
        </w:rPr>
      </w:r>
    </w:p>
    <w:p w:rsidR="00000000" w:rsidDel="00000000" w:rsidP="00000000" w:rsidRDefault="00000000" w:rsidRPr="00000000" w14:paraId="00000017">
      <w:pPr>
        <w:widowControl w:val="0"/>
        <w:numPr>
          <w:ilvl w:val="0"/>
          <w:numId w:val="3"/>
        </w:numPr>
        <w:spacing w:after="0" w:afterAutospacing="0" w:before="0" w:beforeAutospacing="0" w:line="275.9999942779541" w:lineRule="auto"/>
        <w:ind w:left="570" w:hanging="360"/>
        <w:rPr>
          <w:rFonts w:ascii="Arial" w:cs="Arial" w:eastAsia="Arial" w:hAnsi="Arial"/>
        </w:rPr>
      </w:pPr>
      <w:r w:rsidDel="00000000" w:rsidR="00000000" w:rsidRPr="00000000">
        <w:rPr>
          <w:b w:val="1"/>
          <w:bCs w:val="1"/>
          <w:color w:val="1f1f1f"/>
          <w:rtl w:val="0"/>
        </w:rPr>
        <w:t xml:space="preserve">A safe space to share:</w:t>
      </w:r>
      <w:r w:rsidDel="00000000" w:rsidR="00000000" w:rsidRPr="00000000">
        <w:rPr>
          <w:color w:val="1f1f1f"/>
          <w:rtl w:val="0"/>
        </w:rPr>
        <w:t xml:space="preserve"> There are no right answers; whether technology feels like a help or a headache most days, all of it is valid. Your responses are completely anonymous, and no one at your school or trust will know what you individually said.</w:t>
      </w:r>
      <w:r w:rsidDel="00000000" w:rsidR="00000000" w:rsidRPr="00000000">
        <w:rPr>
          <w:rtl w:val="0"/>
        </w:rPr>
      </w:r>
    </w:p>
    <w:p w:rsidR="00000000" w:rsidDel="00000000" w:rsidP="00000000" w:rsidRDefault="00000000" w:rsidRPr="00000000" w14:paraId="00000018">
      <w:pPr>
        <w:widowControl w:val="0"/>
        <w:numPr>
          <w:ilvl w:val="0"/>
          <w:numId w:val="3"/>
        </w:numPr>
        <w:spacing w:after="120" w:before="0" w:beforeAutospacing="0" w:line="275.9999942779541" w:lineRule="auto"/>
        <w:ind w:left="570" w:hanging="360"/>
        <w:rPr>
          <w:rFonts w:ascii="Arial" w:cs="Arial" w:eastAsia="Arial" w:hAnsi="Arial"/>
        </w:rPr>
      </w:pPr>
      <w:r w:rsidDel="00000000" w:rsidR="00000000" w:rsidRPr="00000000">
        <w:rPr>
          <w:b w:val="1"/>
          <w:bCs w:val="1"/>
          <w:color w:val="1f1f1f"/>
          <w:rtl w:val="0"/>
        </w:rPr>
        <w:t xml:space="preserve">We promise to close the loop:</w:t>
      </w:r>
      <w:r w:rsidDel="00000000" w:rsidR="00000000" w:rsidRPr="00000000">
        <w:rPr>
          <w:color w:val="1f1f1f"/>
          <w:rtl w:val="0"/>
        </w:rPr>
        <w:t xml:space="preserve"> Your input will genuinely shape how we think about technology, training, and support. Results are aggregated to reveal patterns that leadership can act on without attributing views to any individual.</w:t>
      </w:r>
      <w:r w:rsidDel="00000000" w:rsidR="00000000" w:rsidRPr="00000000">
        <w:rPr>
          <w:rtl w:val="0"/>
        </w:rPr>
        <w:br w:type="textWrapping"/>
      </w:r>
    </w:p>
    <w:p w:rsidR="00000000" w:rsidDel="00000000" w:rsidP="00000000" w:rsidRDefault="00000000" w:rsidRPr="00000000" w14:paraId="00000019">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5457825</wp:posOffset>
            </wp:positionH>
            <wp:positionV relativeFrom="page">
              <wp:posOffset>9401175</wp:posOffset>
            </wp:positionV>
            <wp:extent cx="190500" cy="190500"/>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anchor>
        </w:drawing>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center" w:leader="none" w:pos="4680"/>
        <w:tab w:val="right" w:leader="none" w:pos="936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mc:AlternateContent>
        <mc:Choice Requires="wpg">
          <w:drawing>
            <wp:inline distB="114300" distT="114300" distL="114300" distR="114300">
              <wp:extent cx="5731200" cy="16791"/>
              <wp:effectExtent b="0" l="0" r="0" t="0"/>
              <wp:docPr id="1" name=""/>
              <a:graphic>
                <a:graphicData uri="http://schemas.microsoft.com/office/word/2010/wordprocessingShape">
                  <wps:wsp>
                    <wps:cNvCnPr/>
                    <wps:spPr>
                      <a:xfrm flipH="1" rot="10800000">
                        <a:off x="-150100" y="1821400"/>
                        <a:ext cx="9917100" cy="9900"/>
                      </a:xfrm>
                      <a:prstGeom prst="straightConnector1">
                        <a:avLst/>
                      </a:prstGeom>
                      <a:noFill/>
                      <a:ln cap="flat" cmpd="sng" w="28575">
                        <a:solidFill>
                          <a:srgbClr val="00B57D"/>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5731200" cy="16791"/>
              <wp:effectExtent b="0" l="0" r="0" t="0"/>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731200" cy="1679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C">
    <w:pPr>
      <w:tabs>
        <w:tab w:val="center" w:leader="none" w:pos="4680"/>
        <w:tab w:val="right" w:leader="none" w:pos="9360"/>
      </w:tabs>
      <w:spacing w:line="240" w:lineRule="auto"/>
      <w:rPr>
        <w:rFonts w:ascii="Calibri" w:cs="Calibri" w:eastAsia="Calibri" w:hAnsi="Calibri"/>
        <w:color w:val="00b57d"/>
        <w:sz w:val="24"/>
        <w:szCs w:val="24"/>
      </w:rPr>
    </w:pPr>
    <w:r w:rsidDel="00000000" w:rsidR="00000000" w:rsidRPr="00000000">
      <w:rPr>
        <w:rtl w:val="0"/>
      </w:rPr>
    </w:r>
  </w:p>
  <w:p w:rsidR="00000000" w:rsidDel="00000000" w:rsidP="00000000" w:rsidRDefault="00000000" w:rsidRPr="00000000" w14:paraId="0000001D">
    <w:pPr>
      <w:tabs>
        <w:tab w:val="center" w:leader="none" w:pos="4680"/>
        <w:tab w:val="right" w:leader="none" w:pos="9360"/>
      </w:tabs>
      <w:spacing w:line="240" w:lineRule="auto"/>
      <w:rPr>
        <w:color w:val="00b57d"/>
      </w:rPr>
    </w:pPr>
    <w:r w:rsidDel="00000000" w:rsidR="00000000" w:rsidRPr="00000000">
      <w:rPr>
        <w:rFonts w:ascii="Calibri" w:cs="Calibri" w:eastAsia="Calibri" w:hAnsi="Calibri"/>
        <w:color w:val="00b57d"/>
        <w:sz w:val="24"/>
        <w:szCs w:val="24"/>
      </w:rPr>
      <w:drawing>
        <wp:inline distB="114300" distT="114300" distL="114300" distR="114300">
          <wp:extent cx="190500" cy="190500"/>
          <wp:effectExtent b="0" l="0" r="0" t="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90500" cy="190500"/>
                  </a:xfrm>
                  <a:prstGeom prst="rect"/>
                  <a:ln/>
                </pic:spPr>
              </pic:pic>
            </a:graphicData>
          </a:graphic>
        </wp:inline>
      </w:drawing>
    </w:r>
    <w:r w:rsidDel="00000000" w:rsidR="00000000" w:rsidRPr="00000000">
      <w:rPr>
        <w:rFonts w:ascii="Calibri" w:cs="Calibri" w:eastAsia="Calibri" w:hAnsi="Calibri"/>
        <w:color w:val="00b57d"/>
        <w:sz w:val="24"/>
        <w:szCs w:val="24"/>
        <w:rtl w:val="0"/>
      </w:rPr>
      <w:t xml:space="preserve"> </w:t>
    </w:r>
    <w:hyperlink r:id="rId3">
      <w:r w:rsidDel="00000000" w:rsidR="00000000" w:rsidRPr="00000000">
        <w:rPr>
          <w:rFonts w:ascii="Calibri" w:cs="Calibri" w:eastAsia="Calibri" w:hAnsi="Calibri"/>
          <w:color w:val="00b57d"/>
          <w:sz w:val="24"/>
          <w:szCs w:val="24"/>
          <w:rtl w:val="0"/>
        </w:rPr>
        <w:t xml:space="preserve">home.edurio.com</w:t>
      </w:r>
    </w:hyperlink>
    <w:r w:rsidDel="00000000" w:rsidR="00000000" w:rsidRPr="00000000">
      <w:rPr>
        <w:rFonts w:ascii="Calibri" w:cs="Calibri" w:eastAsia="Calibri" w:hAnsi="Calibri"/>
        <w:color w:val="00b57d"/>
        <w:sz w:val="24"/>
        <w:szCs w:val="24"/>
        <w:rtl w:val="0"/>
      </w:rPr>
      <w:tab/>
      <w:tab/>
      <w:t xml:space="preserve">   </w:t>
    </w:r>
    <w:hyperlink r:id="rId4">
      <w:r w:rsidDel="00000000" w:rsidR="00000000" w:rsidRPr="00000000">
        <w:rPr>
          <w:rFonts w:ascii="Calibri" w:cs="Calibri" w:eastAsia="Calibri" w:hAnsi="Calibri"/>
          <w:color w:val="00b57d"/>
          <w:sz w:val="24"/>
          <w:szCs w:val="24"/>
          <w:rtl w:val="0"/>
        </w:rPr>
        <w:t xml:space="preserve">hello@edurio.com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right"/>
      <w:rPr/>
    </w:pPr>
    <w:r w:rsidDel="00000000" w:rsidR="00000000" w:rsidRPr="00000000">
      <w:rPr/>
      <w:drawing>
        <wp:anchor allowOverlap="1" behindDoc="0" distB="114300" distT="114300" distL="114300" distR="114300" hidden="0" layoutInCell="1" locked="0" relativeHeight="0" simplePos="0">
          <wp:simplePos x="0" y="0"/>
          <wp:positionH relativeFrom="page">
            <wp:posOffset>6419850</wp:posOffset>
          </wp:positionH>
          <wp:positionV relativeFrom="page">
            <wp:posOffset>266700</wp:posOffset>
          </wp:positionV>
          <wp:extent cx="919163" cy="382984"/>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19163" cy="38298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5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57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Open Sans" w:cs="Open Sans" w:eastAsia="Open Sans" w:hAnsi="Open Sans"/>
      <w:b w:val="1"/>
      <w:bCs w:val="1"/>
      <w:sz w:val="40"/>
      <w:szCs w:val="40"/>
    </w:rPr>
  </w:style>
  <w:style w:type="paragraph" w:styleId="Heading2">
    <w:name w:val="heading 2"/>
    <w:basedOn w:val="Normal"/>
    <w:next w:val="Normal"/>
    <w:pPr>
      <w:keepNext w:val="1"/>
      <w:keepLines w:val="1"/>
    </w:pPr>
    <w:rPr>
      <w:rFonts w:ascii="Open Sans" w:cs="Open Sans" w:eastAsia="Open Sans" w:hAnsi="Open Sans"/>
      <w:b w:val="1"/>
      <w:bCs w:val="1"/>
      <w:color w:val="00b57d"/>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hyperlink" Target="http://home.edurio.com" TargetMode="External"/><Relationship Id="rId4" Type="http://schemas.openxmlformats.org/officeDocument/2006/relationships/hyperlink" Target="mailto:hello@edur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