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Bdr>
          <w:top w:color="000000" w:space="0" w:sz="0" w:val="none"/>
          <w:left w:color="000000" w:space="0" w:sz="0" w:val="none"/>
          <w:bottom w:color="000000" w:space="0" w:sz="0" w:val="none"/>
          <w:right w:color="000000" w:space="0" w:sz="0" w:val="none"/>
          <w:between w:color="000000" w:space="0" w:sz="0" w:val="none"/>
        </w:pBdr>
        <w:spacing w:before="0" w:line="276" w:lineRule="auto"/>
        <w:rPr>
          <w:b w:val="1"/>
          <w:bCs w:val="1"/>
        </w:rPr>
      </w:pPr>
      <w:bookmarkStart w:colFirst="0" w:colLast="0" w:name="_rywpba7s28p" w:id="0"/>
      <w:bookmarkEnd w:id="0"/>
      <w:r w:rsidDel="00000000" w:rsidR="00000000" w:rsidRPr="00000000">
        <w:rPr>
          <w:b w:val="1"/>
          <w:bCs w:val="1"/>
          <w:rtl w:val="0"/>
        </w:rPr>
        <w:t xml:space="preserve">Technology and AI in Schools: Teachers’ Experiences and Perspectives</w:t>
      </w:r>
    </w:p>
    <w:p w:rsidR="00000000" w:rsidDel="00000000" w:rsidP="00000000" w:rsidRDefault="00000000" w:rsidRPr="00000000" w14:paraId="00000002">
      <w:pPr>
        <w:rPr>
          <w:rFonts w:ascii="Open Sans" w:cs="Open Sans" w:eastAsia="Open Sans" w:hAnsi="Open Sans"/>
        </w:rPr>
      </w:pPr>
      <w:r w:rsidDel="00000000" w:rsidR="00000000" w:rsidRPr="00000000">
        <w:rPr>
          <w:rtl w:val="0"/>
        </w:rPr>
      </w:r>
    </w:p>
    <w:p w:rsidR="00000000" w:rsidDel="00000000" w:rsidP="00000000" w:rsidRDefault="00000000" w:rsidRPr="00000000" w14:paraId="00000003">
      <w:pPr>
        <w:pStyle w:val="Heading2"/>
        <w:rPr/>
      </w:pPr>
      <w:bookmarkStart w:colFirst="0" w:colLast="0" w:name="_hm30v6gw7tjp" w:id="1"/>
      <w:bookmarkEnd w:id="1"/>
      <w:r w:rsidDel="00000000" w:rsidR="00000000" w:rsidRPr="00000000">
        <w:rPr>
          <w:sz w:val="46"/>
          <w:szCs w:val="46"/>
          <w:rtl w:val="0"/>
        </w:rPr>
        <w:t xml:space="preserve">Strategic Launch Guide for School Leaders</w:t>
      </w:r>
      <w:r w:rsidDel="00000000" w:rsidR="00000000" w:rsidRPr="00000000">
        <w:rPr>
          <w:rtl w:val="0"/>
        </w:rPr>
      </w:r>
    </w:p>
    <w:p w:rsidR="00000000" w:rsidDel="00000000" w:rsidP="00000000" w:rsidRDefault="00000000" w:rsidRPr="00000000" w14:paraId="00000004">
      <w:pPr>
        <w:rPr>
          <w:rFonts w:ascii="Open Sans" w:cs="Open Sans" w:eastAsia="Open Sans" w:hAnsi="Open Sans"/>
        </w:rPr>
      </w:pPr>
      <w:r w:rsidDel="00000000" w:rsidR="00000000" w:rsidRPr="00000000">
        <w:rPr>
          <w:rtl w:val="0"/>
        </w:rPr>
      </w:r>
    </w:p>
    <w:p w:rsidR="00000000" w:rsidDel="00000000" w:rsidP="00000000" w:rsidRDefault="00000000" w:rsidRPr="00000000" w14:paraId="00000005">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120" w:line="276" w:lineRule="auto"/>
        <w:rPr>
          <w:color w:val="1f1f1f"/>
          <w:sz w:val="28"/>
          <w:szCs w:val="28"/>
        </w:rPr>
      </w:pPr>
      <w:bookmarkStart w:colFirst="0" w:colLast="0" w:name="_8htdyq5lmirr" w:id="2"/>
      <w:bookmarkEnd w:id="2"/>
      <w:r w:rsidDel="00000000" w:rsidR="00000000" w:rsidRPr="00000000">
        <w:rPr>
          <w:color w:val="1f1f1f"/>
          <w:sz w:val="28"/>
          <w:szCs w:val="28"/>
          <w:rtl w:val="0"/>
        </w:rPr>
        <w:t xml:space="preserve">Welcome to the Technology and AI in Schools Survey!</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color w:val="1f1f1f"/>
        </w:rPr>
      </w:pPr>
      <w:r w:rsidDel="00000000" w:rsidR="00000000" w:rsidRPr="00000000">
        <w:rPr>
          <w:color w:val="1f1f1f"/>
          <w:rtl w:val="0"/>
        </w:rPr>
        <w:t xml:space="preserve">Launching the </w:t>
      </w:r>
      <w:r w:rsidDel="00000000" w:rsidR="00000000" w:rsidRPr="00000000">
        <w:rPr>
          <w:b w:val="1"/>
          <w:bCs w:val="1"/>
          <w:color w:val="1f1f1f"/>
          <w:rtl w:val="0"/>
        </w:rPr>
        <w:t xml:space="preserve">Technology and AI in Schools Survey</w:t>
      </w:r>
      <w:r w:rsidDel="00000000" w:rsidR="00000000" w:rsidRPr="00000000">
        <w:rPr>
          <w:color w:val="1f1f1f"/>
          <w:rtl w:val="0"/>
        </w:rPr>
        <w:t xml:space="preserve"> means confronting what teachers deal with every day: tools their training never covered, and technical problems that rarely get documented.</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color w:val="1f1f1f"/>
        </w:rPr>
      </w:pPr>
      <w:r w:rsidDel="00000000" w:rsidR="00000000" w:rsidRPr="00000000">
        <w:rPr>
          <w:color w:val="1f1f1f"/>
          <w:rtl w:val="0"/>
        </w:rPr>
        <w:t xml:space="preserve">By participating in this project, we aren't just collecting data; we are benchmarking your school against a national picture. This process allows you to move beyond "gut feeling" and make the invisible aspects of teaching with technology visible.</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color w:val="1f1f1f"/>
        </w:rPr>
      </w:pPr>
      <w:r w:rsidDel="00000000" w:rsidR="00000000" w:rsidRPr="00000000">
        <w:rPr>
          <w:color w:val="1f1f1f"/>
          <w:rtl w:val="0"/>
        </w:rPr>
        <w:t xml:space="preserve">This survey helps ensure that:</w:t>
      </w:r>
    </w:p>
    <w:p w:rsidR="00000000" w:rsidDel="00000000" w:rsidP="00000000" w:rsidRDefault="00000000" w:rsidRPr="00000000" w14:paraId="00000009">
      <w:pPr>
        <w:numPr>
          <w:ilvl w:val="0"/>
          <w:numId w:val="2"/>
        </w:numPr>
        <w:pBdr>
          <w:top w:color="000000" w:space="0" w:sz="0" w:val="none"/>
          <w:left w:color="000000" w:space="0" w:sz="0" w:val="none"/>
          <w:bottom w:color="000000" w:space="0" w:sz="0" w:val="none"/>
          <w:right w:color="000000" w:space="0" w:sz="0" w:val="none"/>
          <w:between w:color="000000" w:space="0" w:sz="0" w:val="none"/>
        </w:pBdr>
        <w:spacing w:before="240" w:line="276" w:lineRule="auto"/>
        <w:ind w:left="720" w:hanging="360"/>
        <w:rPr>
          <w:color w:val="1f1f1f"/>
        </w:rPr>
      </w:pPr>
      <w:r w:rsidDel="00000000" w:rsidR="00000000" w:rsidRPr="00000000">
        <w:rPr>
          <w:b w:val="1"/>
          <w:bCs w:val="1"/>
          <w:color w:val="1f1f1f"/>
          <w:rtl w:val="0"/>
        </w:rPr>
        <w:t xml:space="preserve">Resources and CPD are uniquely suited to your staff's needs:</w:t>
      </w:r>
      <w:r w:rsidDel="00000000" w:rsidR="00000000" w:rsidRPr="00000000">
        <w:rPr>
          <w:color w:val="1f1f1f"/>
          <w:rtl w:val="0"/>
        </w:rPr>
        <w:t xml:space="preserve"> Understanding the specific frustrations and successes of using technology in your classrooms means your training offer is useful, not just another compliance exercise.</w:t>
      </w:r>
    </w:p>
    <w:p w:rsidR="00000000" w:rsidDel="00000000" w:rsidP="00000000" w:rsidRDefault="00000000" w:rsidRPr="00000000" w14:paraId="0000000A">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240" w:line="276" w:lineRule="auto"/>
        <w:ind w:left="720" w:hanging="360"/>
        <w:rPr>
          <w:color w:val="1f1f1f"/>
        </w:rPr>
      </w:pPr>
      <w:r w:rsidDel="00000000" w:rsidR="00000000" w:rsidRPr="00000000">
        <w:rPr>
          <w:b w:val="1"/>
          <w:bCs w:val="1"/>
          <w:color w:val="1f1f1f"/>
          <w:rtl w:val="0"/>
        </w:rPr>
        <w:t xml:space="preserve">Communication is grounded in what matters to your teachers:</w:t>
      </w:r>
      <w:r w:rsidDel="00000000" w:rsidR="00000000" w:rsidRPr="00000000">
        <w:rPr>
          <w:color w:val="1f1f1f"/>
          <w:rtl w:val="0"/>
        </w:rPr>
        <w:t xml:space="preserve"> You can move away from assumptions about AI adoption or device reliability, and base your digital strategy on what staff are actually experiencing.</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color w:val="1f1f1f"/>
        </w:rPr>
      </w:pPr>
      <w:r w:rsidDel="00000000" w:rsidR="00000000" w:rsidRPr="00000000">
        <w:rPr>
          <w:color w:val="1f1f1f"/>
          <w:rtl w:val="0"/>
        </w:rPr>
        <w:t xml:space="preserve">To get the most from this, treat teachers as partners in your digital strategy, not data points. This is not an audit. It is a chance to turn individual experiences into a shared plan.</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color w:val="1f1f1f"/>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color w:val="1f1f1f"/>
        </w:rPr>
      </w:pPr>
      <w:r w:rsidDel="00000000" w:rsidR="00000000" w:rsidRPr="00000000">
        <w:rPr>
          <w:rtl w:val="0"/>
        </w:rPr>
      </w:r>
    </w:p>
    <w:p w:rsidR="00000000" w:rsidDel="00000000" w:rsidP="00000000" w:rsidRDefault="00000000" w:rsidRPr="00000000" w14:paraId="0000000E">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276" w:lineRule="auto"/>
        <w:rPr>
          <w:color w:val="00b57d"/>
          <w:sz w:val="46"/>
          <w:szCs w:val="46"/>
        </w:rPr>
      </w:pPr>
      <w:bookmarkStart w:colFirst="0" w:colLast="0" w:name="_7kesuw3wrs24" w:id="3"/>
      <w:bookmarkEnd w:id="3"/>
      <w:r w:rsidDel="00000000" w:rsidR="00000000" w:rsidRPr="00000000">
        <w:rPr>
          <w:b w:val="1"/>
          <w:bCs w:val="1"/>
          <w:color w:val="00b57d"/>
          <w:sz w:val="46"/>
          <w:szCs w:val="46"/>
          <w:rtl w:val="0"/>
        </w:rPr>
        <w:t xml:space="preserve">🚀 School leader’s checklist for launch</w:t>
      </w:r>
      <w:r w:rsidDel="00000000" w:rsidR="00000000" w:rsidRPr="00000000">
        <w:rPr>
          <w:rtl w:val="0"/>
        </w:rPr>
      </w:r>
    </w:p>
    <w:p w:rsidR="00000000" w:rsidDel="00000000" w:rsidP="00000000" w:rsidRDefault="00000000" w:rsidRPr="00000000" w14:paraId="0000000F">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276" w:lineRule="auto"/>
        <w:rPr>
          <w:b w:val="1"/>
          <w:bCs w:val="1"/>
          <w:color w:val="1f1f1f"/>
        </w:rPr>
      </w:pPr>
      <w:bookmarkStart w:colFirst="0" w:colLast="0" w:name="_cc6mpss96uuy" w:id="4"/>
      <w:bookmarkEnd w:id="4"/>
      <w:r w:rsidDel="00000000" w:rsidR="00000000" w:rsidRPr="00000000">
        <w:rPr>
          <w:b w:val="1"/>
          <w:bCs w:val="1"/>
          <w:color w:val="1f1f1f"/>
          <w:rtl w:val="0"/>
        </w:rPr>
        <w:t xml:space="preserve">Phase 1: Launching with purpose</w:t>
      </w:r>
    </w:p>
    <w:p w:rsidR="00000000" w:rsidDel="00000000" w:rsidP="00000000" w:rsidRDefault="00000000" w:rsidRPr="00000000" w14:paraId="00000010">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276" w:lineRule="auto"/>
        <w:rPr>
          <w:b w:val="1"/>
          <w:bCs w:val="1"/>
          <w:color w:val="1f1f1f"/>
          <w:sz w:val="26"/>
          <w:szCs w:val="26"/>
        </w:rPr>
      </w:pPr>
      <w:bookmarkStart w:colFirst="0" w:colLast="0" w:name="_brthxqnfr9ss" w:id="5"/>
      <w:bookmarkEnd w:id="5"/>
      <w:r w:rsidDel="00000000" w:rsidR="00000000" w:rsidRPr="00000000">
        <w:rPr>
          <w:color w:val="1f1f1f"/>
          <w:sz w:val="22"/>
          <w:szCs w:val="22"/>
          <w:rtl w:val="0"/>
        </w:rPr>
        <w:t xml:space="preserve">Teachers engage most when they believe the results will be used. If staff see this as a top-down admin task, the data will be thin. If they see it as a chance to shape their own support, the responses will reflect it.</w:t>
      </w: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color w:val="1f1f1f"/>
        </w:rPr>
      </w:pPr>
      <w:r w:rsidDel="00000000" w:rsidR="00000000" w:rsidRPr="00000000">
        <w:rPr>
          <w:color w:val="1f1f1f"/>
          <w:rtl w:val="0"/>
        </w:rPr>
        <w:t xml:space="preserve">[ ] </w:t>
      </w:r>
      <w:r w:rsidDel="00000000" w:rsidR="00000000" w:rsidRPr="00000000">
        <w:rPr>
          <w:b w:val="1"/>
          <w:bCs w:val="1"/>
          <w:color w:val="1f1f1f"/>
          <w:rtl w:val="0"/>
        </w:rPr>
        <w:t xml:space="preserve">The all-staff briefing:</w:t>
      </w:r>
      <w:r w:rsidDel="00000000" w:rsidR="00000000" w:rsidRPr="00000000">
        <w:rPr>
          <w:color w:val="1f1f1f"/>
          <w:rtl w:val="0"/>
        </w:rPr>
        <w:t xml:space="preserve"> Spend five minutes in a staff meeting explaining the why. Frame the survey as a chance to be heard at scale and with national context.</w:t>
      </w:r>
    </w:p>
    <w:p w:rsidR="00000000" w:rsidDel="00000000" w:rsidP="00000000" w:rsidRDefault="00000000" w:rsidRPr="00000000" w14:paraId="00000012">
      <w:pPr>
        <w:numPr>
          <w:ilvl w:val="0"/>
          <w:numId w:val="1"/>
        </w:numPr>
        <w:pBdr>
          <w:top w:color="000000" w:space="0" w:sz="0" w:val="none"/>
          <w:left w:color="000000" w:space="0" w:sz="0" w:val="none"/>
          <w:bottom w:color="000000" w:space="0" w:sz="0" w:val="none"/>
          <w:right w:color="000000" w:space="0" w:sz="0" w:val="none"/>
          <w:between w:color="000000" w:space="0" w:sz="0" w:val="none"/>
        </w:pBdr>
        <w:spacing w:before="240" w:line="276" w:lineRule="auto"/>
        <w:ind w:left="720" w:hanging="360"/>
        <w:rPr>
          <w:color w:val="1f1f1f"/>
        </w:rPr>
      </w:pPr>
      <w:r w:rsidDel="00000000" w:rsidR="00000000" w:rsidRPr="00000000">
        <w:rPr>
          <w:b w:val="1"/>
          <w:bCs w:val="1"/>
          <w:color w:val="1f1f1f"/>
          <w:rtl w:val="0"/>
        </w:rPr>
        <w:t xml:space="preserve">Acknowledge the reality:</w:t>
      </w:r>
      <w:r w:rsidDel="00000000" w:rsidR="00000000" w:rsidRPr="00000000">
        <w:rPr>
          <w:color w:val="1f1f1f"/>
          <w:rtl w:val="0"/>
        </w:rPr>
        <w:t xml:space="preserve"> Mention the moments when the Wi-Fi drops or when a teacher wants to try a new AI tool but does not know where to start. It shows you are paying attention to their day-to-day.</w:t>
      </w:r>
    </w:p>
    <w:p w:rsidR="00000000" w:rsidDel="00000000" w:rsidP="00000000" w:rsidRDefault="00000000" w:rsidRPr="00000000" w14:paraId="00000013">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color w:val="1f1f1f"/>
        </w:rPr>
      </w:pPr>
      <w:r w:rsidDel="00000000" w:rsidR="00000000" w:rsidRPr="00000000">
        <w:rPr>
          <w:b w:val="1"/>
          <w:bCs w:val="1"/>
          <w:color w:val="1f1f1f"/>
          <w:rtl w:val="0"/>
        </w:rPr>
        <w:t xml:space="preserve">Remove the audit fear:</w:t>
      </w:r>
      <w:r w:rsidDel="00000000" w:rsidR="00000000" w:rsidRPr="00000000">
        <w:rPr>
          <w:color w:val="1f1f1f"/>
          <w:rtl w:val="0"/>
        </w:rPr>
        <w:t xml:space="preserve"> Be clear that this is not about scrutinising practice. It is about surfacing the gaps staff feel every day.</w:t>
      </w:r>
    </w:p>
    <w:p w:rsidR="00000000" w:rsidDel="00000000" w:rsidP="00000000" w:rsidRDefault="00000000" w:rsidRPr="00000000" w14:paraId="00000014">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240" w:line="276" w:lineRule="auto"/>
        <w:ind w:left="720" w:hanging="360"/>
        <w:rPr>
          <w:color w:val="1f1f1f"/>
        </w:rPr>
      </w:pPr>
      <w:r w:rsidDel="00000000" w:rsidR="00000000" w:rsidRPr="00000000">
        <w:rPr>
          <w:b w:val="1"/>
          <w:bCs w:val="1"/>
          <w:color w:val="1f1f1f"/>
          <w:rtl w:val="0"/>
        </w:rPr>
        <w:t xml:space="preserve">The 15-minute value:</w:t>
      </w:r>
      <w:r w:rsidDel="00000000" w:rsidR="00000000" w:rsidRPr="00000000">
        <w:rPr>
          <w:color w:val="1f1f1f"/>
          <w:rtl w:val="0"/>
        </w:rPr>
        <w:t xml:space="preserve"> Remind staff that 15 minutes now will shape real decisions about tools, training and support next academic year.</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color w:val="1f1f1f"/>
        </w:rPr>
      </w:pPr>
      <w:r w:rsidDel="00000000" w:rsidR="00000000" w:rsidRPr="00000000">
        <w:rPr>
          <w:color w:val="1f1f1f"/>
          <w:rtl w:val="0"/>
        </w:rPr>
        <w:t xml:space="preserve">[ ] </w:t>
      </w:r>
      <w:r w:rsidDel="00000000" w:rsidR="00000000" w:rsidRPr="00000000">
        <w:rPr>
          <w:b w:val="1"/>
          <w:bCs w:val="1"/>
          <w:color w:val="1f1f1f"/>
          <w:rtl w:val="0"/>
        </w:rPr>
        <w:t xml:space="preserve">Dedicated time:</w:t>
      </w:r>
      <w:r w:rsidDel="00000000" w:rsidR="00000000" w:rsidRPr="00000000">
        <w:rPr>
          <w:color w:val="1f1f1f"/>
          <w:rtl w:val="0"/>
        </w:rPr>
        <w:t xml:space="preserve"> If possible, give staff 15 minutes during a directed time slot or briefing to complete it. Giving them time back shows the task is worth taking seriously.</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color w:val="1f1f1f"/>
        </w:rPr>
      </w:pPr>
      <w:r w:rsidDel="00000000" w:rsidR="00000000" w:rsidRPr="00000000">
        <w:rPr>
          <w:color w:val="1f1f1f"/>
          <w:rtl w:val="0"/>
        </w:rPr>
        <w:t xml:space="preserve">[ ] </w:t>
      </w:r>
      <w:r w:rsidDel="00000000" w:rsidR="00000000" w:rsidRPr="00000000">
        <w:rPr>
          <w:b w:val="1"/>
          <w:bCs w:val="1"/>
          <w:color w:val="1f1f1f"/>
          <w:rtl w:val="0"/>
        </w:rPr>
        <w:t xml:space="preserve">Model openness:</w:t>
      </w:r>
      <w:r w:rsidDel="00000000" w:rsidR="00000000" w:rsidRPr="00000000">
        <w:rPr>
          <w:color w:val="1f1f1f"/>
          <w:rtl w:val="0"/>
        </w:rPr>
        <w:t xml:space="preserve"> Be honest that the school does not have all the answers on AI yet, and that teacher input is what fills that gap.</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color w:val="1f1f1f"/>
        </w:rPr>
      </w:pPr>
      <w:r w:rsidDel="00000000" w:rsidR="00000000" w:rsidRPr="00000000">
        <w:rPr>
          <w:color w:val="1f1f1f"/>
          <w:rtl w:val="0"/>
        </w:rPr>
        <w:t xml:space="preserve">[ ] </w:t>
      </w:r>
      <w:r w:rsidDel="00000000" w:rsidR="00000000" w:rsidRPr="00000000">
        <w:rPr>
          <w:b w:val="1"/>
          <w:bCs w:val="1"/>
          <w:color w:val="1f1f1f"/>
          <w:rtl w:val="0"/>
        </w:rPr>
        <w:t xml:space="preserve">Set a clear deadline:</w:t>
      </w:r>
      <w:r w:rsidDel="00000000" w:rsidR="00000000" w:rsidRPr="00000000">
        <w:rPr>
          <w:color w:val="1f1f1f"/>
          <w:rtl w:val="0"/>
        </w:rPr>
        <w:t xml:space="preserve"> Give staff a specific date to work towards. For example: </w:t>
      </w:r>
      <w:r w:rsidDel="00000000" w:rsidR="00000000" w:rsidRPr="00000000">
        <w:rPr>
          <w:i w:val="1"/>
          <w:iCs w:val="1"/>
          <w:color w:val="1f1f1f"/>
          <w:rtl w:val="0"/>
        </w:rPr>
        <w:t xml:space="preserve">"Let's aim to have everyone's voice captured by next Friday."</w:t>
      </w:r>
      <w:r w:rsidDel="00000000" w:rsidR="00000000" w:rsidRPr="00000000">
        <w:rPr>
          <w:color w:val="1f1f1f"/>
          <w:rtl w:val="0"/>
        </w:rPr>
        <w:t xml:space="preserve">).</w:t>
      </w:r>
    </w:p>
    <w:p w:rsidR="00000000" w:rsidDel="00000000" w:rsidP="00000000" w:rsidRDefault="00000000" w:rsidRPr="00000000" w14:paraId="00000018">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276" w:lineRule="auto"/>
        <w:rPr>
          <w:b w:val="1"/>
          <w:bCs w:val="1"/>
          <w:color w:val="1f1f1f"/>
        </w:rPr>
      </w:pPr>
      <w:bookmarkStart w:colFirst="0" w:colLast="0" w:name="_vfr0l53v7jl" w:id="6"/>
      <w:bookmarkEnd w:id="6"/>
      <w:r w:rsidDel="00000000" w:rsidR="00000000" w:rsidRPr="00000000">
        <w:rPr>
          <w:b w:val="1"/>
          <w:bCs w:val="1"/>
          <w:color w:val="1f1f1f"/>
          <w:rtl w:val="0"/>
        </w:rPr>
        <w:t xml:space="preserve">Phase 2: Closing the loop</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color w:val="1f1f1f"/>
        </w:rPr>
      </w:pPr>
      <w:r w:rsidDel="00000000" w:rsidR="00000000" w:rsidRPr="00000000">
        <w:rPr>
          <w:color w:val="1f1f1f"/>
          <w:rtl w:val="0"/>
        </w:rPr>
        <w:t xml:space="preserve">Once the survey closes, your role shifts from collecting to responding. The first 48 hours after closing matter most for maintaining trust.</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color w:val="1f1f1f"/>
        </w:rPr>
      </w:pPr>
      <w:r w:rsidDel="00000000" w:rsidR="00000000" w:rsidRPr="00000000">
        <w:rPr>
          <w:color w:val="1f1f1f"/>
          <w:rtl w:val="0"/>
        </w:rPr>
        <w:t xml:space="preserve">[ ] </w:t>
      </w:r>
      <w:r w:rsidDel="00000000" w:rsidR="00000000" w:rsidRPr="00000000">
        <w:rPr>
          <w:b w:val="1"/>
          <w:bCs w:val="1"/>
          <w:color w:val="1f1f1f"/>
          <w:rtl w:val="0"/>
        </w:rPr>
        <w:t xml:space="preserve">Celebrate the volume:</w:t>
      </w:r>
      <w:r w:rsidDel="00000000" w:rsidR="00000000" w:rsidRPr="00000000">
        <w:rPr>
          <w:color w:val="1f1f1f"/>
          <w:rtl w:val="0"/>
        </w:rPr>
        <w:t xml:space="preserve"> Share the final response count straight away. </w:t>
      </w:r>
      <w:r w:rsidDel="00000000" w:rsidR="00000000" w:rsidRPr="00000000">
        <w:rPr>
          <w:i w:val="1"/>
          <w:iCs w:val="1"/>
          <w:color w:val="1f1f1f"/>
          <w:rtl w:val="0"/>
        </w:rPr>
        <w:t xml:space="preserve">"We heard from 45 of you. That is a strong, representative voice helping us shape our digital direction. Thank you."</w:t>
      </w: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color w:val="1f1f1f"/>
        </w:rPr>
      </w:pPr>
      <w:r w:rsidDel="00000000" w:rsidR="00000000" w:rsidRPr="00000000">
        <w:rPr>
          <w:color w:val="1f1f1f"/>
          <w:rtl w:val="0"/>
        </w:rPr>
        <w:t xml:space="preserve">[ ] </w:t>
      </w:r>
      <w:r w:rsidDel="00000000" w:rsidR="00000000" w:rsidRPr="00000000">
        <w:rPr>
          <w:b w:val="1"/>
          <w:bCs w:val="1"/>
          <w:color w:val="1f1f1f"/>
          <w:rtl w:val="0"/>
        </w:rPr>
        <w:t xml:space="preserve">Share initial highlights quickly:</w:t>
      </w:r>
      <w:r w:rsidDel="00000000" w:rsidR="00000000" w:rsidRPr="00000000">
        <w:rPr>
          <w:color w:val="1f1f1f"/>
          <w:rtl w:val="0"/>
        </w:rPr>
        <w:t xml:space="preserve"> Do not wait for the full report. Share a couple of high-level themes as soon as you can. For example: </w:t>
      </w:r>
      <w:r w:rsidDel="00000000" w:rsidR="00000000" w:rsidRPr="00000000">
        <w:rPr>
          <w:i w:val="1"/>
          <w:iCs w:val="1"/>
          <w:color w:val="1f1f1f"/>
          <w:rtl w:val="0"/>
        </w:rPr>
        <w:t xml:space="preserve">"It’s clear that many of you are excited about AI for lesson planning, and we’ve also seen consistent themes around device reliability."</w:t>
      </w:r>
      <w:r w:rsidDel="00000000" w:rsidR="00000000" w:rsidRPr="00000000">
        <w:rPr>
          <w:color w:val="1f1f1f"/>
          <w:rtl w:val="0"/>
        </w:rPr>
        <w:t xml:space="preserve">)</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color w:val="1f1f1f"/>
        </w:rPr>
      </w:pPr>
      <w:r w:rsidDel="00000000" w:rsidR="00000000" w:rsidRPr="00000000">
        <w:rPr>
          <w:color w:val="1f1f1f"/>
          <w:rtl w:val="0"/>
        </w:rPr>
        <w:t xml:space="preserve">[ ] </w:t>
      </w:r>
      <w:r w:rsidDel="00000000" w:rsidR="00000000" w:rsidRPr="00000000">
        <w:rPr>
          <w:b w:val="1"/>
          <w:bCs w:val="1"/>
          <w:color w:val="1f1f1f"/>
          <w:rtl w:val="0"/>
        </w:rPr>
        <w:t xml:space="preserve">Acknowledge difficult feedback:</w:t>
      </w:r>
      <w:r w:rsidDel="00000000" w:rsidR="00000000" w:rsidRPr="00000000">
        <w:rPr>
          <w:color w:val="1f1f1f"/>
          <w:rtl w:val="0"/>
        </w:rPr>
        <w:t xml:space="preserve"> If staff raised hard points, name them early. </w:t>
      </w:r>
      <w:r w:rsidDel="00000000" w:rsidR="00000000" w:rsidRPr="00000000">
        <w:rPr>
          <w:i w:val="1"/>
          <w:iCs w:val="1"/>
          <w:color w:val="1f1f1f"/>
          <w:rtl w:val="0"/>
        </w:rPr>
        <w:t xml:space="preserve">"We hear your concerns about hardware access in the Science block and are looking at this data now."</w:t>
      </w: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color w:val="1f1f1f"/>
        </w:rPr>
      </w:pPr>
      <w:r w:rsidDel="00000000" w:rsidR="00000000" w:rsidRPr="00000000">
        <w:rPr>
          <w:color w:val="1f1f1f"/>
          <w:rtl w:val="0"/>
        </w:rPr>
        <w:t xml:space="preserve">[ ] </w:t>
      </w:r>
      <w:r w:rsidDel="00000000" w:rsidR="00000000" w:rsidRPr="00000000">
        <w:rPr>
          <w:b w:val="1"/>
          <w:bCs w:val="1"/>
          <w:color w:val="1f1f1f"/>
          <w:rtl w:val="0"/>
        </w:rPr>
        <w:t xml:space="preserve">Commit to the benchmark:</w:t>
      </w:r>
      <w:r w:rsidDel="00000000" w:rsidR="00000000" w:rsidRPr="00000000">
        <w:rPr>
          <w:color w:val="1f1f1f"/>
          <w:rtl w:val="0"/>
        </w:rPr>
        <w:t xml:space="preserve"> Remind staff that you are now comparing their experiences against the first national benchmark of its kind and will return with a detailed plan once the data is fully analysed.</w:t>
      </w:r>
    </w:p>
    <w:p w:rsidR="00000000" w:rsidDel="00000000" w:rsidP="00000000" w:rsidRDefault="00000000" w:rsidRPr="00000000" w14:paraId="0000001E">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276" w:lineRule="auto"/>
        <w:rPr>
          <w:b w:val="1"/>
          <w:bCs w:val="1"/>
          <w:color w:val="1f1f1f"/>
        </w:rPr>
      </w:pPr>
      <w:bookmarkStart w:colFirst="0" w:colLast="0" w:name="_qwlxx6u6jofi" w:id="7"/>
      <w:bookmarkEnd w:id="7"/>
      <w:r w:rsidDel="00000000" w:rsidR="00000000" w:rsidRPr="00000000">
        <w:rPr>
          <w:b w:val="1"/>
          <w:bCs w:val="1"/>
          <w:color w:val="1f1f1f"/>
          <w:rtl w:val="0"/>
        </w:rPr>
        <w:t xml:space="preserve">The closing message to staff:</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i w:val="1"/>
          <w:iCs w:val="1"/>
          <w:color w:val="1f1f1f"/>
        </w:rPr>
      </w:pPr>
      <w:r w:rsidDel="00000000" w:rsidR="00000000" w:rsidRPr="00000000">
        <w:rPr>
          <w:i w:val="1"/>
          <w:iCs w:val="1"/>
          <w:color w:val="1f1f1f"/>
          <w:rtl w:val="0"/>
        </w:rPr>
        <w:t xml:space="preserve">"Thank you for such a strong response to the Technology and AI survey. We’ve already started looking through your feedback. We were pleased to see how many of you feel confident using our core learning platforms, and we’ve taken note of your thoughts on the need for more targeted AI training. I will be back in touch on [Date] with a more detailed summary and our next steps."</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after="240" w:before="240" w:line="276" w:lineRule="auto"/>
        <w:rPr>
          <w:b w:val="1"/>
          <w:bCs w:val="1"/>
          <w:color w:val="1f1f1f"/>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after="160" w:line="276" w:lineRule="auto"/>
        <w:rPr>
          <w:color w:val="1f1f1f"/>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drawing>
          <wp:anchor allowOverlap="1" behindDoc="0" distB="114300" distT="114300" distL="114300" distR="114300" hidden="0" layoutInCell="1" locked="0" relativeHeight="0" simplePos="0">
            <wp:simplePos x="0" y="0"/>
            <wp:positionH relativeFrom="page">
              <wp:posOffset>5457825</wp:posOffset>
            </wp:positionH>
            <wp:positionV relativeFrom="page">
              <wp:posOffset>9401175</wp:posOffset>
            </wp:positionV>
            <wp:extent cx="190500" cy="190500"/>
            <wp:effectExtent b="0" l="0" r="0" t="0"/>
            <wp:wrapTopAndBottom distB="114300" distT="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90500" cy="190500"/>
                    </a:xfrm>
                    <a:prstGeom prst="rect"/>
                    <a:ln/>
                  </pic:spPr>
                </pic:pic>
              </a:graphicData>
            </a:graphic>
          </wp:anchor>
        </w:drawing>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tabs>
        <w:tab w:val="center" w:leader="none" w:pos="4680"/>
        <w:tab w:val="right" w:leader="none" w:pos="936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mc:AlternateContent>
        <mc:Choice Requires="wpg">
          <w:drawing>
            <wp:inline distB="114300" distT="114300" distL="114300" distR="114300">
              <wp:extent cx="5731200" cy="16791"/>
              <wp:effectExtent b="0" l="0" r="0" t="0"/>
              <wp:docPr id="1" name=""/>
              <a:graphic>
                <a:graphicData uri="http://schemas.microsoft.com/office/word/2010/wordprocessingShape">
                  <wps:wsp>
                    <wps:cNvCnPr/>
                    <wps:spPr>
                      <a:xfrm flipH="1" rot="10800000">
                        <a:off x="-150100" y="1821400"/>
                        <a:ext cx="9917100" cy="9900"/>
                      </a:xfrm>
                      <a:prstGeom prst="straightConnector1">
                        <a:avLst/>
                      </a:prstGeom>
                      <a:noFill/>
                      <a:ln cap="flat" cmpd="sng" w="28575">
                        <a:solidFill>
                          <a:srgbClr val="00B57D"/>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5731200" cy="16791"/>
              <wp:effectExtent b="0" l="0" r="0" t="0"/>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731200" cy="1679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6">
    <w:pPr>
      <w:tabs>
        <w:tab w:val="center" w:leader="none" w:pos="4680"/>
        <w:tab w:val="right" w:leader="none" w:pos="9360"/>
      </w:tabs>
      <w:spacing w:line="240" w:lineRule="auto"/>
      <w:rPr>
        <w:rFonts w:ascii="Calibri" w:cs="Calibri" w:eastAsia="Calibri" w:hAnsi="Calibri"/>
        <w:color w:val="00b57d"/>
        <w:sz w:val="24"/>
        <w:szCs w:val="24"/>
      </w:rPr>
    </w:pPr>
    <w:r w:rsidDel="00000000" w:rsidR="00000000" w:rsidRPr="00000000">
      <w:rPr>
        <w:rtl w:val="0"/>
      </w:rPr>
    </w:r>
  </w:p>
  <w:p w:rsidR="00000000" w:rsidDel="00000000" w:rsidP="00000000" w:rsidRDefault="00000000" w:rsidRPr="00000000" w14:paraId="00000027">
    <w:pPr>
      <w:tabs>
        <w:tab w:val="center" w:leader="none" w:pos="4680"/>
        <w:tab w:val="right" w:leader="none" w:pos="9360"/>
      </w:tabs>
      <w:spacing w:line="240" w:lineRule="auto"/>
      <w:rPr>
        <w:color w:val="00b57d"/>
      </w:rPr>
    </w:pPr>
    <w:r w:rsidDel="00000000" w:rsidR="00000000" w:rsidRPr="00000000">
      <w:rPr>
        <w:rFonts w:ascii="Calibri" w:cs="Calibri" w:eastAsia="Calibri" w:hAnsi="Calibri"/>
        <w:color w:val="00b57d"/>
        <w:sz w:val="24"/>
        <w:szCs w:val="24"/>
      </w:rPr>
      <w:drawing>
        <wp:inline distB="114300" distT="114300" distL="114300" distR="114300">
          <wp:extent cx="190500" cy="190500"/>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0500" cy="190500"/>
                  </a:xfrm>
                  <a:prstGeom prst="rect"/>
                  <a:ln/>
                </pic:spPr>
              </pic:pic>
            </a:graphicData>
          </a:graphic>
        </wp:inline>
      </w:drawing>
    </w:r>
    <w:r w:rsidDel="00000000" w:rsidR="00000000" w:rsidRPr="00000000">
      <w:rPr>
        <w:rFonts w:ascii="Calibri" w:cs="Calibri" w:eastAsia="Calibri" w:hAnsi="Calibri"/>
        <w:color w:val="00b57d"/>
        <w:sz w:val="24"/>
        <w:szCs w:val="24"/>
        <w:rtl w:val="0"/>
      </w:rPr>
      <w:t xml:space="preserve"> </w:t>
    </w:r>
    <w:hyperlink r:id="rId3">
      <w:r w:rsidDel="00000000" w:rsidR="00000000" w:rsidRPr="00000000">
        <w:rPr>
          <w:rFonts w:ascii="Calibri" w:cs="Calibri" w:eastAsia="Calibri" w:hAnsi="Calibri"/>
          <w:color w:val="00b57d"/>
          <w:sz w:val="24"/>
          <w:szCs w:val="24"/>
          <w:rtl w:val="0"/>
        </w:rPr>
        <w:t xml:space="preserve">home.edurio.com</w:t>
      </w:r>
    </w:hyperlink>
    <w:r w:rsidDel="00000000" w:rsidR="00000000" w:rsidRPr="00000000">
      <w:rPr>
        <w:rFonts w:ascii="Calibri" w:cs="Calibri" w:eastAsia="Calibri" w:hAnsi="Calibri"/>
        <w:color w:val="00b57d"/>
        <w:sz w:val="24"/>
        <w:szCs w:val="24"/>
        <w:rtl w:val="0"/>
      </w:rPr>
      <w:tab/>
      <w:tab/>
      <w:t xml:space="preserve">   </w:t>
    </w:r>
    <w:hyperlink r:id="rId4">
      <w:r w:rsidDel="00000000" w:rsidR="00000000" w:rsidRPr="00000000">
        <w:rPr>
          <w:rFonts w:ascii="Calibri" w:cs="Calibri" w:eastAsia="Calibri" w:hAnsi="Calibri"/>
          <w:color w:val="00b57d"/>
          <w:sz w:val="24"/>
          <w:szCs w:val="24"/>
          <w:rtl w:val="0"/>
        </w:rPr>
        <w:t xml:space="preserve">hello@edurio.com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right"/>
      <w:rPr/>
    </w:pPr>
    <w:r w:rsidDel="00000000" w:rsidR="00000000" w:rsidRPr="00000000">
      <w:rPr/>
      <w:drawing>
        <wp:anchor allowOverlap="1" behindDoc="0" distB="114300" distT="114300" distL="114300" distR="114300" hidden="0" layoutInCell="1" locked="0" relativeHeight="0" simplePos="0">
          <wp:simplePos x="0" y="0"/>
          <wp:positionH relativeFrom="page">
            <wp:posOffset>6419850</wp:posOffset>
          </wp:positionH>
          <wp:positionV relativeFrom="page">
            <wp:posOffset>266700</wp:posOffset>
          </wp:positionV>
          <wp:extent cx="919163" cy="382984"/>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19163" cy="38298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Open Sans" w:cs="Open Sans" w:eastAsia="Open Sans" w:hAnsi="Open Sans"/>
      <w:b w:val="1"/>
      <w:bCs w:val="1"/>
      <w:sz w:val="40"/>
      <w:szCs w:val="40"/>
    </w:rPr>
  </w:style>
  <w:style w:type="paragraph" w:styleId="Heading2">
    <w:name w:val="heading 2"/>
    <w:basedOn w:val="Normal"/>
    <w:next w:val="Normal"/>
    <w:pPr>
      <w:keepNext w:val="1"/>
      <w:keepLines w:val="1"/>
    </w:pPr>
    <w:rPr>
      <w:rFonts w:ascii="Open Sans" w:cs="Open Sans" w:eastAsia="Open Sans" w:hAnsi="Open Sans"/>
      <w:b w:val="1"/>
      <w:bCs w:val="1"/>
      <w:color w:val="00b57d"/>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hyperlink" Target="http://home.edurio.com" TargetMode="External"/><Relationship Id="rId4" Type="http://schemas.openxmlformats.org/officeDocument/2006/relationships/hyperlink" Target="mailto:hello@eduri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