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top w:color="000000" w:space="0" w:sz="0" w:val="none"/>
          <w:left w:color="000000" w:space="0" w:sz="0" w:val="none"/>
          <w:bottom w:color="000000" w:space="0" w:sz="0" w:val="none"/>
          <w:right w:color="000000" w:space="0" w:sz="0" w:val="none"/>
          <w:between w:color="000000" w:space="0" w:sz="0" w:val="none"/>
        </w:pBdr>
        <w:spacing w:before="0" w:line="276" w:lineRule="auto"/>
        <w:rPr>
          <w:b w:val="1"/>
          <w:bCs w:val="1"/>
          <w:color w:val="1f1f1f"/>
        </w:rPr>
      </w:pPr>
      <w:bookmarkStart w:colFirst="0" w:colLast="0" w:name="_fozso67iy721" w:id="0"/>
      <w:bookmarkEnd w:id="0"/>
      <w:r w:rsidDel="00000000" w:rsidR="00000000" w:rsidRPr="00000000">
        <w:rPr>
          <w:b w:val="1"/>
          <w:bCs w:val="1"/>
          <w:color w:val="1f1f1f"/>
          <w:rtl w:val="0"/>
        </w:rPr>
        <w:t xml:space="preserve">Technology and AI in Schools: Teachers’ Experiences and Perspectives</w:t>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pStyle w:val="Heading2"/>
        <w:rPr>
          <w:rFonts w:ascii="Open Sans" w:cs="Open Sans" w:eastAsia="Open Sans" w:hAnsi="Open Sans"/>
        </w:rPr>
      </w:pPr>
      <w:bookmarkStart w:colFirst="0" w:colLast="0" w:name="_hm30v6gw7tjp" w:id="1"/>
      <w:bookmarkEnd w:id="1"/>
      <w:r w:rsidDel="00000000" w:rsidR="00000000" w:rsidRPr="00000000">
        <w:rPr>
          <w:sz w:val="46"/>
          <w:szCs w:val="46"/>
          <w:rtl w:val="0"/>
        </w:rPr>
        <w:t xml:space="preserve">Strategic Launch Guide for Trust Leaders</w:t>
      </w:r>
      <w:r w:rsidDel="00000000" w:rsidR="00000000" w:rsidRPr="00000000">
        <w:rPr>
          <w:rtl w:val="0"/>
        </w:rPr>
      </w:r>
    </w:p>
    <w:p w:rsidR="00000000" w:rsidDel="00000000" w:rsidP="00000000" w:rsidRDefault="00000000" w:rsidRPr="00000000" w14:paraId="0000000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b w:val="1"/>
          <w:bCs w:val="1"/>
          <w:color w:val="1f1f1f"/>
        </w:rPr>
      </w:pPr>
      <w:bookmarkStart w:colFirst="0" w:colLast="0" w:name="_3lgbrvd1knuh" w:id="2"/>
      <w:bookmarkEnd w:id="2"/>
      <w:r w:rsidDel="00000000" w:rsidR="00000000" w:rsidRPr="00000000">
        <w:rPr>
          <w:b w:val="1"/>
          <w:bCs w:val="1"/>
          <w:color w:val="1f1f1f"/>
          <w:rtl w:val="0"/>
        </w:rPr>
        <w:t xml:space="preserve">Welcome to the Technology and AI in Schools Survey!</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As we launch this research project, we are addressing a gap no one has properly documented. Every day, your teachers make real decisions about technology and AI, using tools their training never prepared them for and working around technical hurdles that go unrecorded.</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This survey is designed to change that. It builds an evidence-based picture of how technology is actually experienced in your classrooms. The data goes straight into decisions about investment, CPD and digital strategy.</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For this to work, staff need to feel that their input will actually be used. This is a listening exercise, not a compliance exercise. Individual responses become shared evidence that shapes decisions at school and trust level.</w:t>
      </w:r>
    </w:p>
    <w:p w:rsidR="00000000" w:rsidDel="00000000" w:rsidP="00000000" w:rsidRDefault="00000000" w:rsidRPr="00000000" w14:paraId="00000008">
      <w:pPr>
        <w:spacing w:line="276" w:lineRule="auto"/>
        <w:rPr>
          <w:color w:val="1f1f1f"/>
        </w:rPr>
      </w:pPr>
      <w:r w:rsidDel="00000000" w:rsidR="00000000" w:rsidRPr="00000000">
        <w:rPr>
          <w:rtl w:val="0"/>
        </w:rPr>
      </w:r>
    </w:p>
    <w:p w:rsidR="00000000" w:rsidDel="00000000" w:rsidP="00000000" w:rsidRDefault="00000000" w:rsidRPr="00000000" w14:paraId="00000009">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sz w:val="46"/>
          <w:szCs w:val="46"/>
        </w:rPr>
      </w:pPr>
      <w:bookmarkStart w:colFirst="0" w:colLast="0" w:name="_df9rly8m144w" w:id="3"/>
      <w:bookmarkEnd w:id="3"/>
      <w:r w:rsidDel="00000000" w:rsidR="00000000" w:rsidRPr="00000000">
        <w:rPr>
          <w:rtl w:val="0"/>
        </w:rPr>
      </w:r>
    </w:p>
    <w:p w:rsidR="00000000" w:rsidDel="00000000" w:rsidP="00000000" w:rsidRDefault="00000000" w:rsidRPr="00000000" w14:paraId="0000000A">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sz w:val="46"/>
          <w:szCs w:val="46"/>
        </w:rPr>
      </w:pPr>
      <w:bookmarkStart w:colFirst="0" w:colLast="0" w:name="_956u20x9kx2d" w:id="4"/>
      <w:bookmarkEnd w:id="4"/>
      <w:r w:rsidDel="00000000" w:rsidR="00000000" w:rsidRPr="00000000">
        <w:rPr>
          <w:rtl w:val="0"/>
        </w:rPr>
      </w:r>
    </w:p>
    <w:p w:rsidR="00000000" w:rsidDel="00000000" w:rsidP="00000000" w:rsidRDefault="00000000" w:rsidRPr="00000000" w14:paraId="0000000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sz w:val="46"/>
          <w:szCs w:val="46"/>
        </w:rPr>
      </w:pPr>
      <w:bookmarkStart w:colFirst="0" w:colLast="0" w:name="_rv1glshz25gh" w:id="5"/>
      <w:bookmarkEnd w:id="5"/>
      <w:r w:rsidDel="00000000" w:rsidR="00000000" w:rsidRPr="00000000">
        <w:rPr>
          <w:rtl w:val="0"/>
        </w:rPr>
      </w:r>
    </w:p>
    <w:p w:rsidR="00000000" w:rsidDel="00000000" w:rsidP="00000000" w:rsidRDefault="00000000" w:rsidRPr="00000000" w14:paraId="0000000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sz w:val="46"/>
          <w:szCs w:val="46"/>
        </w:rPr>
      </w:pPr>
      <w:bookmarkStart w:colFirst="0" w:colLast="0" w:name="_kqfd0pe2j7cb" w:id="6"/>
      <w:bookmarkEnd w:id="6"/>
      <w:r w:rsidDel="00000000" w:rsidR="00000000" w:rsidRPr="00000000">
        <w:rPr>
          <w:rtl w:val="0"/>
        </w:rPr>
      </w:r>
    </w:p>
    <w:p w:rsidR="00000000" w:rsidDel="00000000" w:rsidP="00000000" w:rsidRDefault="00000000" w:rsidRPr="00000000" w14:paraId="0000000D">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sz w:val="46"/>
          <w:szCs w:val="46"/>
        </w:rPr>
      </w:pPr>
      <w:bookmarkStart w:colFirst="0" w:colLast="0" w:name="_yr51k6224gt5" w:id="7"/>
      <w:bookmarkEnd w:id="7"/>
      <w:r w:rsidDel="00000000" w:rsidR="00000000" w:rsidRPr="00000000">
        <w:rPr>
          <w:sz w:val="46"/>
          <w:szCs w:val="46"/>
          <w:rtl w:val="0"/>
        </w:rPr>
        <w:t xml:space="preserve">The Trust Leader’s Strategic Coordination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As a trust leader, your role is to provide the </w:t>
      </w:r>
      <w:r w:rsidDel="00000000" w:rsidR="00000000" w:rsidRPr="00000000">
        <w:rPr>
          <w:b w:val="1"/>
          <w:bCs w:val="1"/>
          <w:color w:val="1f1f1f"/>
          <w:rtl w:val="0"/>
        </w:rPr>
        <w:t xml:space="preserve">strategic steer</w:t>
      </w:r>
      <w:r w:rsidDel="00000000" w:rsidR="00000000" w:rsidRPr="00000000">
        <w:rPr>
          <w:color w:val="1f1f1f"/>
          <w:rtl w:val="0"/>
        </w:rPr>
        <w:t xml:space="preserve">. A direct message from the trust level is the single most effective way to ensure surveys are launched successfully across all schools.</w:t>
      </w:r>
    </w:p>
    <w:p w:rsidR="00000000" w:rsidDel="00000000" w:rsidP="00000000" w:rsidRDefault="00000000" w:rsidRPr="00000000" w14:paraId="0000000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276" w:lineRule="auto"/>
        <w:rPr>
          <w:b w:val="1"/>
          <w:bCs w:val="1"/>
          <w:color w:val="1f1f1f"/>
        </w:rPr>
      </w:pPr>
      <w:bookmarkStart w:colFirst="0" w:colLast="0" w:name="_8ad1io99siw1" w:id="8"/>
      <w:bookmarkEnd w:id="8"/>
      <w:r w:rsidDel="00000000" w:rsidR="00000000" w:rsidRPr="00000000">
        <w:rPr>
          <w:b w:val="1"/>
          <w:bCs w:val="1"/>
          <w:color w:val="1f1f1f"/>
          <w:rtl w:val="0"/>
        </w:rPr>
        <w:t xml:space="preserve">The Strategy for Your School Heads:</w:t>
      </w:r>
    </w:p>
    <w:p w:rsidR="00000000" w:rsidDel="00000000" w:rsidP="00000000" w:rsidRDefault="00000000" w:rsidRPr="00000000" w14:paraId="00000010">
      <w:pPr>
        <w:numPr>
          <w:ilvl w:val="0"/>
          <w:numId w:val="1"/>
        </w:numPr>
        <w:pBdr>
          <w:top w:color="000000" w:space="0" w:sz="0" w:val="none"/>
          <w:bottom w:color="000000" w:space="0" w:sz="0" w:val="none"/>
          <w:right w:color="000000" w:space="0" w:sz="0" w:val="none"/>
          <w:between w:color="000000" w:space="0" w:sz="0" w:val="none"/>
        </w:pBdr>
        <w:spacing w:line="276" w:lineRule="auto"/>
        <w:ind w:left="720" w:hanging="360"/>
        <w:rPr>
          <w:rFonts w:ascii="Arial" w:cs="Arial" w:eastAsia="Arial" w:hAnsi="Arial"/>
          <w:color w:val="1f1f1f"/>
        </w:rPr>
      </w:pPr>
      <w:r w:rsidDel="00000000" w:rsidR="00000000" w:rsidRPr="00000000">
        <w:rPr>
          <w:b w:val="1"/>
          <w:bCs w:val="1"/>
          <w:color w:val="1f1f1f"/>
          <w:rtl w:val="0"/>
        </w:rPr>
        <w:t xml:space="preserve">Frame as a Priority:</w:t>
      </w:r>
      <w:r w:rsidDel="00000000" w:rsidR="00000000" w:rsidRPr="00000000">
        <w:rPr>
          <w:color w:val="1f1f1f"/>
          <w:rtl w:val="0"/>
        </w:rPr>
        <w:t xml:space="preserve"> Tell your heads that this is a trust-wide priority. Explain that what comes back is genuinely useful: a clear view of their school's strengths and gaps, benchmarked against the national picture.</w:t>
      </w:r>
      <w:r w:rsidDel="00000000" w:rsidR="00000000" w:rsidRPr="00000000">
        <w:rPr>
          <w:rtl w:val="0"/>
        </w:rPr>
      </w:r>
    </w:p>
    <w:p w:rsidR="00000000" w:rsidDel="00000000" w:rsidP="00000000" w:rsidRDefault="00000000" w:rsidRPr="00000000" w14:paraId="00000011">
      <w:pPr>
        <w:numPr>
          <w:ilvl w:val="0"/>
          <w:numId w:val="1"/>
        </w:numPr>
        <w:pBdr>
          <w:top w:color="000000" w:space="0" w:sz="0" w:val="none"/>
          <w:bottom w:color="000000" w:space="0" w:sz="0" w:val="none"/>
          <w:right w:color="000000" w:space="0" w:sz="0" w:val="none"/>
          <w:between w:color="000000" w:space="0" w:sz="0" w:val="none"/>
        </w:pBdr>
        <w:spacing w:line="276" w:lineRule="auto"/>
        <w:ind w:left="720" w:hanging="360"/>
        <w:rPr>
          <w:rFonts w:ascii="Arial" w:cs="Arial" w:eastAsia="Arial" w:hAnsi="Arial"/>
          <w:color w:val="1f1f1f"/>
        </w:rPr>
      </w:pPr>
      <w:r w:rsidDel="00000000" w:rsidR="00000000" w:rsidRPr="00000000">
        <w:rPr>
          <w:b w:val="1"/>
          <w:bCs w:val="1"/>
          <w:color w:val="1f1f1f"/>
          <w:rtl w:val="0"/>
        </w:rPr>
        <w:t xml:space="preserve">Identify the 'Tech Champion':</w:t>
      </w:r>
      <w:r w:rsidDel="00000000" w:rsidR="00000000" w:rsidRPr="00000000">
        <w:rPr>
          <w:color w:val="1f1f1f"/>
          <w:rtl w:val="0"/>
        </w:rPr>
        <w:t xml:space="preserve"> Ask each head to appoint a lead (a deputy or tech lead) to distribute the link and set a clear deadline.</w:t>
      </w:r>
      <w:r w:rsidDel="00000000" w:rsidR="00000000" w:rsidRPr="00000000">
        <w:rPr>
          <w:rtl w:val="0"/>
        </w:rPr>
      </w:r>
    </w:p>
    <w:p w:rsidR="00000000" w:rsidDel="00000000" w:rsidP="00000000" w:rsidRDefault="00000000" w:rsidRPr="00000000" w14:paraId="00000012">
      <w:pPr>
        <w:numPr>
          <w:ilvl w:val="0"/>
          <w:numId w:val="1"/>
        </w:numPr>
        <w:pBdr>
          <w:top w:color="000000" w:space="0" w:sz="0" w:val="none"/>
          <w:bottom w:color="000000" w:space="0" w:sz="0" w:val="none"/>
          <w:right w:color="000000" w:space="0" w:sz="0" w:val="none"/>
          <w:between w:color="000000" w:space="0" w:sz="0" w:val="none"/>
        </w:pBdr>
        <w:spacing w:after="520" w:line="276" w:lineRule="auto"/>
        <w:ind w:left="720" w:hanging="360"/>
        <w:rPr>
          <w:rFonts w:ascii="Arial" w:cs="Arial" w:eastAsia="Arial" w:hAnsi="Arial"/>
          <w:color w:val="1f1f1f"/>
        </w:rPr>
      </w:pPr>
      <w:r w:rsidDel="00000000" w:rsidR="00000000" w:rsidRPr="00000000">
        <w:rPr>
          <w:b w:val="1"/>
          <w:bCs w:val="1"/>
          <w:color w:val="1f1f1f"/>
          <w:rtl w:val="0"/>
        </w:rPr>
        <w:t xml:space="preserve">Coordinate the Window:</w:t>
      </w:r>
      <w:r w:rsidDel="00000000" w:rsidR="00000000" w:rsidRPr="00000000">
        <w:rPr>
          <w:color w:val="1f1f1f"/>
          <w:rtl w:val="0"/>
        </w:rPr>
        <w:t xml:space="preserve"> The survey window closes on </w:t>
      </w:r>
      <w:r w:rsidDel="00000000" w:rsidR="00000000" w:rsidRPr="00000000">
        <w:rPr>
          <w:b w:val="1"/>
          <w:bCs w:val="1"/>
          <w:color w:val="1f1f1f"/>
          <w:rtl w:val="0"/>
        </w:rPr>
        <w:t xml:space="preserve">30 June</w:t>
      </w:r>
      <w:r w:rsidDel="00000000" w:rsidR="00000000" w:rsidRPr="00000000">
        <w:rPr>
          <w:color w:val="1f1f1f"/>
          <w:rtl w:val="0"/>
        </w:rPr>
        <w:t xml:space="preserve">. Aim to have all schools launch by late May to ensure staff have time to respond at a comfortable pace.</w:t>
      </w:r>
      <w:r w:rsidDel="00000000" w:rsidR="00000000" w:rsidRPr="00000000">
        <w:rPr>
          <w:rtl w:val="0"/>
        </w:rPr>
      </w:r>
    </w:p>
    <w:p w:rsidR="00000000" w:rsidDel="00000000" w:rsidP="00000000" w:rsidRDefault="00000000" w:rsidRPr="00000000" w14:paraId="0000001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276" w:lineRule="auto"/>
        <w:rPr>
          <w:b w:val="1"/>
          <w:bCs w:val="1"/>
          <w:color w:val="00b57d"/>
          <w:sz w:val="46"/>
          <w:szCs w:val="46"/>
        </w:rPr>
      </w:pPr>
      <w:bookmarkStart w:colFirst="0" w:colLast="0" w:name="_oontw8vjd7j4" w:id="9"/>
      <w:bookmarkEnd w:id="9"/>
      <w:r w:rsidDel="00000000" w:rsidR="00000000" w:rsidRPr="00000000">
        <w:rPr>
          <w:b w:val="1"/>
          <w:bCs w:val="1"/>
          <w:color w:val="00b57d"/>
          <w:sz w:val="46"/>
          <w:szCs w:val="46"/>
          <w:rtl w:val="0"/>
        </w:rPr>
        <w:t xml:space="preserve">🚀 Trust Leader’s Checklist for Coordination</w:t>
      </w:r>
    </w:p>
    <w:p w:rsidR="00000000" w:rsidDel="00000000" w:rsidP="00000000" w:rsidRDefault="00000000" w:rsidRPr="00000000" w14:paraId="00000014">
      <w:pPr>
        <w:pStyle w:val="Heading3"/>
        <w:keepNext w:val="0"/>
        <w:keepLines w:val="0"/>
        <w:widowControl w:val="0"/>
        <w:spacing w:after="120" w:before="0" w:line="275.9999942779541" w:lineRule="auto"/>
        <w:rPr>
          <w:b w:val="1"/>
          <w:bCs w:val="1"/>
        </w:rPr>
      </w:pPr>
      <w:bookmarkStart w:colFirst="0" w:colLast="0" w:name="_wrt2mudsfiph" w:id="10"/>
      <w:bookmarkEnd w:id="10"/>
      <w:r w:rsidDel="00000000" w:rsidR="00000000" w:rsidRPr="00000000">
        <w:rPr>
          <w:b w:val="1"/>
          <w:bCs w:val="1"/>
          <w:color w:val="1f1f1f"/>
          <w:rtl w:val="0"/>
        </w:rPr>
        <w:t xml:space="preserve">Phase 1: Briefing and Buy-In</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Headteacher Briefing:</w:t>
      </w:r>
      <w:r w:rsidDel="00000000" w:rsidR="00000000" w:rsidRPr="00000000">
        <w:rPr>
          <w:color w:val="1f1f1f"/>
          <w:rtl w:val="0"/>
        </w:rPr>
        <w:t xml:space="preserve"> Explain that this data makes the case for resources and informs trust-wide CPD planning.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Strategic Support:</w:t>
      </w:r>
      <w:r w:rsidDel="00000000" w:rsidR="00000000" w:rsidRPr="00000000">
        <w:rPr>
          <w:color w:val="1f1f1f"/>
          <w:rtl w:val="0"/>
        </w:rPr>
        <w:t xml:space="preserve"> Let your school heads know that help is available to launch the surveys, if they need it.</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Unified Messaging:</w:t>
      </w:r>
      <w:r w:rsidDel="00000000" w:rsidR="00000000" w:rsidRPr="00000000">
        <w:rPr>
          <w:color w:val="1f1f1f"/>
          <w:rtl w:val="0"/>
        </w:rPr>
        <w:t xml:space="preserve"> Provide school heads with the "Note for Teachers" to ensure the purpose is consistent across the trust.</w:t>
      </w:r>
    </w:p>
    <w:p w:rsidR="00000000" w:rsidDel="00000000" w:rsidP="00000000" w:rsidRDefault="00000000" w:rsidRPr="00000000" w14:paraId="00000018">
      <w:pPr>
        <w:pStyle w:val="Heading3"/>
        <w:keepNext w:val="0"/>
        <w:keepLines w:val="0"/>
        <w:widowControl w:val="0"/>
        <w:spacing w:after="120" w:before="120" w:line="275.9999942779541" w:lineRule="auto"/>
        <w:rPr>
          <w:b w:val="1"/>
          <w:bCs w:val="1"/>
          <w:color w:val="1f1f1f"/>
        </w:rPr>
      </w:pPr>
      <w:bookmarkStart w:colFirst="0" w:colLast="0" w:name="_7lpjkn1qmb5b" w:id="11"/>
      <w:bookmarkEnd w:id="11"/>
      <w:r w:rsidDel="00000000" w:rsidR="00000000" w:rsidRPr="00000000">
        <w:rPr>
          <w:rtl w:val="0"/>
        </w:rPr>
      </w:r>
    </w:p>
    <w:p w:rsidR="00000000" w:rsidDel="00000000" w:rsidP="00000000" w:rsidRDefault="00000000" w:rsidRPr="00000000" w14:paraId="00000019">
      <w:pPr>
        <w:pStyle w:val="Heading3"/>
        <w:keepNext w:val="0"/>
        <w:keepLines w:val="0"/>
        <w:widowControl w:val="0"/>
        <w:spacing w:after="120" w:before="120" w:line="275.9999942779541" w:lineRule="auto"/>
        <w:rPr>
          <w:b w:val="1"/>
          <w:bCs w:val="1"/>
          <w:color w:val="1f1f1f"/>
        </w:rPr>
      </w:pPr>
      <w:bookmarkStart w:colFirst="0" w:colLast="0" w:name="_v2iet92nrkvt" w:id="12"/>
      <w:bookmarkEnd w:id="12"/>
      <w:r w:rsidDel="00000000" w:rsidR="00000000" w:rsidRPr="00000000">
        <w:rPr>
          <w:rtl w:val="0"/>
        </w:rPr>
      </w:r>
    </w:p>
    <w:p w:rsidR="00000000" w:rsidDel="00000000" w:rsidP="00000000" w:rsidRDefault="00000000" w:rsidRPr="00000000" w14:paraId="0000001A">
      <w:pPr>
        <w:pStyle w:val="Heading3"/>
        <w:keepNext w:val="0"/>
        <w:keepLines w:val="0"/>
        <w:widowControl w:val="0"/>
        <w:spacing w:after="120" w:before="120" w:line="275.9999942779541" w:lineRule="auto"/>
        <w:rPr>
          <w:b w:val="1"/>
          <w:bCs w:val="1"/>
          <w:color w:val="1f1f1f"/>
        </w:rPr>
      </w:pPr>
      <w:bookmarkStart w:colFirst="0" w:colLast="0" w:name="_knaog627cpqt" w:id="13"/>
      <w:bookmarkEnd w:id="13"/>
      <w:r w:rsidDel="00000000" w:rsidR="00000000" w:rsidRPr="00000000">
        <w:rPr>
          <w:b w:val="1"/>
          <w:bCs w:val="1"/>
          <w:color w:val="1f1f1f"/>
          <w:rtl w:val="0"/>
        </w:rPr>
        <w:t xml:space="preserve">Phase 2: The Multi-Channel Push</w:t>
      </w:r>
    </w:p>
    <w:p w:rsidR="00000000" w:rsidDel="00000000" w:rsidP="00000000" w:rsidRDefault="00000000" w:rsidRPr="00000000" w14:paraId="0000001B">
      <w:pPr>
        <w:widowControl w:val="0"/>
        <w:spacing w:after="120" w:line="275.9999942779541"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The Trust’s Strategic Message:</w:t>
      </w:r>
      <w:r w:rsidDel="00000000" w:rsidR="00000000" w:rsidRPr="00000000">
        <w:rPr>
          <w:color w:val="1f1f1f"/>
          <w:rtl w:val="0"/>
        </w:rPr>
        <w:t xml:space="preserve"> Send a dedicated email or video. Don’t talk about “data”, talk about “partnership.” Acknowledge teacher voice as a core driver of how technology is and can be used across the trust.</w:t>
      </w:r>
    </w:p>
    <w:p w:rsidR="00000000" w:rsidDel="00000000" w:rsidP="00000000" w:rsidRDefault="00000000" w:rsidRPr="00000000" w14:paraId="0000001C">
      <w:pPr>
        <w:widowControl w:val="0"/>
        <w:spacing w:after="120" w:before="120" w:line="275.9999942779541"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Visibility in the School:</w:t>
      </w:r>
      <w:r w:rsidDel="00000000" w:rsidR="00000000" w:rsidRPr="00000000">
        <w:rPr>
          <w:color w:val="1f1f1f"/>
          <w:rtl w:val="0"/>
        </w:rPr>
        <w:t xml:space="preserve"> Place QR codes where parents actually go: the school gates and the reception desk.</w:t>
      </w:r>
    </w:p>
    <w:p w:rsidR="00000000" w:rsidDel="00000000" w:rsidP="00000000" w:rsidRDefault="00000000" w:rsidRPr="00000000" w14:paraId="0000001D">
      <w:pPr>
        <w:widowControl w:val="0"/>
        <w:spacing w:after="120" w:before="120" w:line="275.9999942779541" w:lineRule="auto"/>
        <w:rPr>
          <w:rFonts w:ascii="Arial" w:cs="Arial" w:eastAsia="Arial" w:hAnsi="Arial"/>
        </w:rPr>
      </w:pPr>
      <w:r w:rsidDel="00000000" w:rsidR="00000000" w:rsidRPr="00000000">
        <w:rPr>
          <w:color w:val="1f1f1f"/>
          <w:rtl w:val="0"/>
        </w:rPr>
        <w:t xml:space="preserve">[ ] </w:t>
      </w:r>
      <w:r w:rsidDel="00000000" w:rsidR="00000000" w:rsidRPr="00000000">
        <w:rPr>
          <w:b w:val="1"/>
          <w:bCs w:val="1"/>
          <w:color w:val="1f1f1f"/>
          <w:rtl w:val="0"/>
        </w:rPr>
        <w:t xml:space="preserve">Teacher Advocacy:</w:t>
      </w:r>
      <w:r w:rsidDel="00000000" w:rsidR="00000000" w:rsidRPr="00000000">
        <w:rPr>
          <w:color w:val="1f1f1f"/>
          <w:rtl w:val="0"/>
        </w:rPr>
        <w:t xml:space="preserve"> Ensure class teachers include the survey link in their regular communications with a personal note of encouragement.</w:t>
      </w:r>
      <w:r w:rsidDel="00000000" w:rsidR="00000000" w:rsidRPr="00000000">
        <w:rPr>
          <w:rtl w:val="0"/>
        </w:rPr>
      </w:r>
    </w:p>
    <w:p w:rsidR="00000000" w:rsidDel="00000000" w:rsidP="00000000" w:rsidRDefault="00000000" w:rsidRPr="00000000" w14:paraId="0000001E">
      <w:pPr>
        <w:pStyle w:val="Heading3"/>
        <w:keepNext w:val="0"/>
        <w:keepLines w:val="0"/>
        <w:widowControl w:val="0"/>
        <w:spacing w:after="120" w:before="120" w:line="275.9999942779541" w:lineRule="auto"/>
        <w:rPr>
          <w:color w:val="1f1f1f"/>
        </w:rPr>
      </w:pPr>
      <w:r w:rsidDel="00000000" w:rsidR="00000000" w:rsidRPr="00000000">
        <w:rPr>
          <w:b w:val="1"/>
          <w:bCs w:val="1"/>
          <w:color w:val="1f1f1f"/>
          <w:rtl w:val="0"/>
        </w:rPr>
        <w:t xml:space="preserve">Phase 3: The Proactive Nudge</w:t>
      </w:r>
      <w:r w:rsidDel="00000000" w:rsidR="00000000" w:rsidRPr="00000000">
        <w:rPr>
          <w:rtl w:val="0"/>
        </w:rPr>
      </w:r>
    </w:p>
    <w:p w:rsidR="00000000" w:rsidDel="00000000" w:rsidP="00000000" w:rsidRDefault="00000000" w:rsidRPr="00000000" w14:paraId="0000001F">
      <w:pPr>
        <w:widowControl w:val="0"/>
        <w:spacing w:after="120" w:line="275.9999942779541"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Targeted Reminders:</w:t>
      </w:r>
      <w:r w:rsidDel="00000000" w:rsidR="00000000" w:rsidRPr="00000000">
        <w:rPr>
          <w:color w:val="1f1f1f"/>
          <w:rtl w:val="0"/>
        </w:rPr>
        <w:t xml:space="preserve"> If one school has a 10% response rate and another has 40%, ask the specific headteachers to remind their staff.</w:t>
      </w:r>
    </w:p>
    <w:p w:rsidR="00000000" w:rsidDel="00000000" w:rsidP="00000000" w:rsidRDefault="00000000" w:rsidRPr="00000000" w14:paraId="00000020">
      <w:pPr>
        <w:widowControl w:val="0"/>
        <w:spacing w:after="120" w:before="120" w:line="275.9999942779541" w:lineRule="auto"/>
        <w:rPr>
          <w:i w:val="1"/>
          <w:iCs w:val="1"/>
          <w:color w:val="1f1f1f"/>
        </w:rPr>
      </w:pPr>
      <w:r w:rsidDel="00000000" w:rsidR="00000000" w:rsidRPr="00000000">
        <w:rPr>
          <w:color w:val="1f1f1f"/>
          <w:rtl w:val="0"/>
        </w:rPr>
        <w:t xml:space="preserve">[ ] </w:t>
      </w:r>
      <w:r w:rsidDel="00000000" w:rsidR="00000000" w:rsidRPr="00000000">
        <w:rPr>
          <w:b w:val="1"/>
          <w:bCs w:val="1"/>
          <w:color w:val="1f1f1f"/>
          <w:rtl w:val="0"/>
        </w:rPr>
        <w:t xml:space="preserve">Live Progress Updates:</w:t>
      </w:r>
      <w:r w:rsidDel="00000000" w:rsidR="00000000" w:rsidRPr="00000000">
        <w:rPr>
          <w:color w:val="1f1f1f"/>
          <w:rtl w:val="0"/>
        </w:rPr>
        <w:t xml:space="preserve"> Celebrate the numbers. </w:t>
      </w:r>
      <w:r w:rsidDel="00000000" w:rsidR="00000000" w:rsidRPr="00000000">
        <w:rPr>
          <w:i w:val="1"/>
          <w:iCs w:val="1"/>
          <w:color w:val="1f1f1f"/>
          <w:rtl w:val="0"/>
        </w:rPr>
        <w:t xml:space="preserve">“We’ve heard from 20% of our staff already. Thank you! Let’s see if we can reach 50% by Friday.”</w:t>
      </w:r>
    </w:p>
    <w:p w:rsidR="00000000" w:rsidDel="00000000" w:rsidP="00000000" w:rsidRDefault="00000000" w:rsidRPr="00000000" w14:paraId="00000021">
      <w:pPr>
        <w:pStyle w:val="Heading3"/>
        <w:keepNext w:val="0"/>
        <w:keepLines w:val="0"/>
        <w:widowControl w:val="0"/>
        <w:spacing w:after="120" w:before="120" w:line="275.9999942779541" w:lineRule="auto"/>
        <w:rPr>
          <w:b w:val="1"/>
          <w:bCs w:val="1"/>
          <w:color w:val="1f1f1f"/>
        </w:rPr>
      </w:pPr>
      <w:bookmarkStart w:colFirst="0" w:colLast="0" w:name="_j2niayq8jsk1" w:id="14"/>
      <w:bookmarkEnd w:id="14"/>
      <w:r w:rsidDel="00000000" w:rsidR="00000000" w:rsidRPr="00000000">
        <w:rPr>
          <w:b w:val="1"/>
          <w:bCs w:val="1"/>
          <w:color w:val="1f1f1f"/>
          <w:rtl w:val="0"/>
        </w:rPr>
        <w:t xml:space="preserve">Phase 4: Closing the Loop &amp; Celebrating the Start</w:t>
      </w:r>
    </w:p>
    <w:p w:rsidR="00000000" w:rsidDel="00000000" w:rsidP="00000000" w:rsidRDefault="00000000" w:rsidRPr="00000000" w14:paraId="00000022">
      <w:pPr>
        <w:widowControl w:val="0"/>
        <w:spacing w:after="120" w:line="275.9999942779541" w:lineRule="auto"/>
        <w:rPr>
          <w:color w:val="1f1f1f"/>
        </w:rPr>
      </w:pPr>
      <w:r w:rsidDel="00000000" w:rsidR="00000000" w:rsidRPr="00000000">
        <w:rPr>
          <w:color w:val="1f1f1f"/>
          <w:rtl w:val="0"/>
        </w:rPr>
        <w:t xml:space="preserve">Once the survey closes, how you respond in the first 48 hours matters as much as the survey itself. Staff are watching to see whether their input leads anywhere.</w:t>
      </w:r>
    </w:p>
    <w:p w:rsidR="00000000" w:rsidDel="00000000" w:rsidP="00000000" w:rsidRDefault="00000000" w:rsidRPr="00000000" w14:paraId="00000023">
      <w:pPr>
        <w:widowControl w:val="0"/>
        <w:spacing w:after="120" w:line="275.9999942779541" w:lineRule="auto"/>
        <w:rPr>
          <w:i w:val="1"/>
          <w:iCs w:val="1"/>
          <w:color w:val="1f1f1f"/>
        </w:rPr>
      </w:pPr>
      <w:r w:rsidDel="00000000" w:rsidR="00000000" w:rsidRPr="00000000">
        <w:rPr>
          <w:color w:val="1f1f1f"/>
          <w:rtl w:val="0"/>
        </w:rPr>
        <w:t xml:space="preserve">[ ] </w:t>
      </w:r>
      <w:r w:rsidDel="00000000" w:rsidR="00000000" w:rsidRPr="00000000">
        <w:rPr>
          <w:b w:val="1"/>
          <w:bCs w:val="1"/>
          <w:color w:val="1f1f1f"/>
          <w:rtl w:val="0"/>
        </w:rPr>
        <w:t xml:space="preserve">Celebrate the Volume:</w:t>
      </w:r>
      <w:r w:rsidDel="00000000" w:rsidR="00000000" w:rsidRPr="00000000">
        <w:rPr>
          <w:color w:val="1f1f1f"/>
          <w:rtl w:val="0"/>
        </w:rPr>
        <w:t xml:space="preserve"> Immediately share the final response count. </w:t>
      </w:r>
      <w:r w:rsidDel="00000000" w:rsidR="00000000" w:rsidRPr="00000000">
        <w:rPr>
          <w:i w:val="1"/>
          <w:iCs w:val="1"/>
          <w:color w:val="1f1f1f"/>
          <w:rtl w:val="0"/>
        </w:rPr>
        <w:t xml:space="preserve">“We heard from 130 staff. That’s 130 people telling us what technology is actually like in this school. Thank you.”</w:t>
      </w:r>
    </w:p>
    <w:p w:rsidR="00000000" w:rsidDel="00000000" w:rsidP="00000000" w:rsidRDefault="00000000" w:rsidRPr="00000000" w14:paraId="00000024">
      <w:pPr>
        <w:widowControl w:val="0"/>
        <w:spacing w:after="120" w:before="120" w:line="275.9999942779541"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The "Initial Highlights" Flash:</w:t>
      </w:r>
      <w:r w:rsidDel="00000000" w:rsidR="00000000" w:rsidRPr="00000000">
        <w:rPr>
          <w:color w:val="1f1f1f"/>
          <w:rtl w:val="0"/>
        </w:rPr>
        <w:t xml:space="preserve"> Don't wait for the full report. Share 2–3 positive "open answers" or high-scoring themes immediately. (e.g., </w:t>
      </w:r>
      <w:r w:rsidDel="00000000" w:rsidR="00000000" w:rsidRPr="00000000">
        <w:rPr>
          <w:i w:val="1"/>
          <w:iCs w:val="1"/>
          <w:color w:val="1f1f1f"/>
          <w:rtl w:val="0"/>
        </w:rPr>
        <w:t xml:space="preserve">“82% of you told us you feel confident using digital devices and platforms for your work. That’s a real strength.”</w:t>
      </w:r>
      <w:r w:rsidDel="00000000" w:rsidR="00000000" w:rsidRPr="00000000">
        <w:rPr>
          <w:color w:val="1f1f1f"/>
          <w:rtl w:val="0"/>
        </w:rPr>
        <w:t xml:space="preserve">)</w:t>
      </w:r>
    </w:p>
    <w:p w:rsidR="00000000" w:rsidDel="00000000" w:rsidP="00000000" w:rsidRDefault="00000000" w:rsidRPr="00000000" w14:paraId="00000025">
      <w:pPr>
        <w:widowControl w:val="0"/>
        <w:spacing w:after="120" w:before="120" w:line="275.9999942779541" w:lineRule="auto"/>
        <w:rPr>
          <w:i w:val="1"/>
          <w:iCs w:val="1"/>
          <w:color w:val="1f1f1f"/>
        </w:rPr>
      </w:pPr>
      <w:r w:rsidDel="00000000" w:rsidR="00000000" w:rsidRPr="00000000">
        <w:rPr>
          <w:color w:val="1f1f1f"/>
          <w:rtl w:val="0"/>
        </w:rPr>
        <w:t xml:space="preserve">[ ] </w:t>
      </w:r>
      <w:r w:rsidDel="00000000" w:rsidR="00000000" w:rsidRPr="00000000">
        <w:rPr>
          <w:b w:val="1"/>
          <w:bCs w:val="1"/>
          <w:color w:val="1f1f1f"/>
          <w:rtl w:val="0"/>
        </w:rPr>
        <w:t xml:space="preserve">Acknowledge the Challenge:</w:t>
      </w:r>
      <w:r w:rsidDel="00000000" w:rsidR="00000000" w:rsidRPr="00000000">
        <w:rPr>
          <w:color w:val="1f1f1f"/>
          <w:rtl w:val="0"/>
        </w:rPr>
        <w:t xml:space="preserve"> If staff raised difficult points, acknowledge them early. </w:t>
      </w:r>
      <w:r w:rsidDel="00000000" w:rsidR="00000000" w:rsidRPr="00000000">
        <w:rPr>
          <w:i w:val="1"/>
          <w:iCs w:val="1"/>
          <w:color w:val="1f1f1f"/>
          <w:rtl w:val="0"/>
        </w:rPr>
        <w:t xml:space="preserve">"We've also seen some clear themes around [e.g. AI use and professional development]. We hear you, and we are digging into this data now."</w:t>
      </w:r>
    </w:p>
    <w:p w:rsidR="00000000" w:rsidDel="00000000" w:rsidP="00000000" w:rsidRDefault="00000000" w:rsidRPr="00000000" w14:paraId="00000026">
      <w:pPr>
        <w:widowControl w:val="0"/>
        <w:spacing w:after="120" w:before="120" w:line="275.9999942779541"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Thank the Team:</w:t>
      </w:r>
      <w:r w:rsidDel="00000000" w:rsidR="00000000" w:rsidRPr="00000000">
        <w:rPr>
          <w:color w:val="1f1f1f"/>
          <w:rtl w:val="0"/>
        </w:rPr>
        <w:t xml:space="preserve"> Publicly thank the head teachers. Let them know how much their "nudges" helped secure the insights the trust needs.</w:t>
      </w:r>
    </w:p>
    <w:p w:rsidR="00000000" w:rsidDel="00000000" w:rsidP="00000000" w:rsidRDefault="00000000" w:rsidRPr="00000000" w14:paraId="00000027">
      <w:pPr>
        <w:widowControl w:val="0"/>
        <w:spacing w:after="120" w:before="120" w:line="275.9999942779541" w:lineRule="auto"/>
        <w:rPr>
          <w:color w:val="1f1f1f"/>
        </w:rPr>
      </w:pPr>
      <w:r w:rsidDel="00000000" w:rsidR="00000000" w:rsidRPr="00000000">
        <w:rPr>
          <w:rtl w:val="0"/>
        </w:rPr>
      </w:r>
    </w:p>
    <w:p w:rsidR="00000000" w:rsidDel="00000000" w:rsidP="00000000" w:rsidRDefault="00000000" w:rsidRPr="00000000" w14:paraId="00000028">
      <w:pPr>
        <w:widowControl w:val="0"/>
        <w:spacing w:after="120" w:before="120" w:line="275.9999942779541" w:lineRule="auto"/>
        <w:rPr>
          <w:color w:val="1f1f1f"/>
        </w:rPr>
      </w:pPr>
      <w:r w:rsidDel="00000000" w:rsidR="00000000" w:rsidRPr="00000000">
        <w:rPr>
          <w:rtl w:val="0"/>
        </w:rPr>
      </w:r>
    </w:p>
    <w:p w:rsidR="00000000" w:rsidDel="00000000" w:rsidP="00000000" w:rsidRDefault="00000000" w:rsidRPr="00000000" w14:paraId="00000029">
      <w:pPr>
        <w:widowControl w:val="0"/>
        <w:spacing w:after="120" w:before="120" w:line="275.9999942779541" w:lineRule="auto"/>
        <w:rPr>
          <w:color w:val="1f1f1f"/>
        </w:rPr>
      </w:pPr>
      <w:r w:rsidDel="00000000" w:rsidR="00000000" w:rsidRPr="00000000">
        <w:rPr>
          <w:rtl w:val="0"/>
        </w:rPr>
      </w:r>
    </w:p>
    <w:p w:rsidR="00000000" w:rsidDel="00000000" w:rsidP="00000000" w:rsidRDefault="00000000" w:rsidRPr="00000000" w14:paraId="0000002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276" w:lineRule="auto"/>
        <w:rPr>
          <w:b w:val="1"/>
          <w:bCs w:val="1"/>
          <w:color w:val="1f1f1f"/>
          <w:sz w:val="26"/>
          <w:szCs w:val="26"/>
        </w:rPr>
      </w:pPr>
      <w:bookmarkStart w:colFirst="0" w:colLast="0" w:name="_xdg05psh7tf" w:id="15"/>
      <w:bookmarkEnd w:id="15"/>
      <w:r w:rsidDel="00000000" w:rsidR="00000000" w:rsidRPr="00000000">
        <w:rPr>
          <w:rtl w:val="0"/>
        </w:rPr>
      </w:r>
    </w:p>
    <w:p w:rsidR="00000000" w:rsidDel="00000000" w:rsidP="00000000" w:rsidRDefault="00000000" w:rsidRPr="00000000" w14:paraId="0000002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276" w:lineRule="auto"/>
        <w:rPr>
          <w:b w:val="1"/>
          <w:bCs w:val="1"/>
          <w:color w:val="1f1f1f"/>
        </w:rPr>
      </w:pPr>
      <w:bookmarkStart w:colFirst="0" w:colLast="0" w:name="_onfbw0qawtw8" w:id="16"/>
      <w:bookmarkEnd w:id="16"/>
      <w:r w:rsidDel="00000000" w:rsidR="00000000" w:rsidRPr="00000000">
        <w:rPr>
          <w:b w:val="1"/>
          <w:bCs w:val="1"/>
          <w:color w:val="1f1f1f"/>
          <w:rtl w:val="0"/>
        </w:rPr>
        <w:t xml:space="preserve">The "Closing" Message to Staff:</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160" w:line="276" w:lineRule="auto"/>
        <w:rPr>
          <w:b w:val="1"/>
          <w:bCs w:val="1"/>
          <w:color w:val="1f1f1f"/>
        </w:rPr>
      </w:pPr>
      <w:r w:rsidDel="00000000" w:rsidR="00000000" w:rsidRPr="00000000">
        <w:rPr>
          <w:i w:val="1"/>
          <w:iCs w:val="1"/>
          <w:color w:val="1f1f1f"/>
          <w:rtl w:val="0"/>
        </w:rPr>
        <w:t xml:space="preserve">“Thank you for taking part. We now have a clear picture of what it’s actually like to teach with technology in our school. We’ve noted your views on [e.g., AI adoption and technical reliability]. We are currently working with the Trust and Edurio to compare these results against the national picture, and I will be back in touch by [Date] to share how your input will shape our training and investment for the next academic year.”</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5457825</wp:posOffset>
            </wp:positionH>
            <wp:positionV relativeFrom="page">
              <wp:posOffset>9401175</wp:posOffset>
            </wp:positionV>
            <wp:extent cx="190500" cy="190500"/>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90500" cy="190500"/>
                    </a:xfrm>
                    <a:prstGeom prst="rect"/>
                    <a:ln/>
                  </pic:spPr>
                </pic:pic>
              </a:graphicData>
            </a:graphic>
          </wp:anchor>
        </w:drawing>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center" w:leader="none" w:pos="4680"/>
        <w:tab w:val="right" w:leader="none" w:pos="93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5731200" cy="16791"/>
              <wp:effectExtent b="0" l="0" r="0" t="0"/>
              <wp:docPr id="1" name=""/>
              <a:graphic>
                <a:graphicData uri="http://schemas.microsoft.com/office/word/2010/wordprocessingShape">
                  <wps:wsp>
                    <wps:cNvCnPr/>
                    <wps:spPr>
                      <a:xfrm flipH="1" rot="10800000">
                        <a:off x="-150100" y="1821400"/>
                        <a:ext cx="9917100" cy="9900"/>
                      </a:xfrm>
                      <a:prstGeom prst="straightConnector1">
                        <a:avLst/>
                      </a:prstGeom>
                      <a:noFill/>
                      <a:ln cap="flat" cmpd="sng" w="28575">
                        <a:solidFill>
                          <a:srgbClr val="00B57D"/>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731200" cy="16791"/>
              <wp:effectExtent b="0" l="0" r="0" t="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1200" cy="167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tabs>
        <w:tab w:val="center" w:leader="none" w:pos="4680"/>
        <w:tab w:val="right" w:leader="none" w:pos="9360"/>
      </w:tabs>
      <w:spacing w:line="240" w:lineRule="auto"/>
      <w:rPr>
        <w:rFonts w:ascii="Calibri" w:cs="Calibri" w:eastAsia="Calibri" w:hAnsi="Calibri"/>
        <w:color w:val="00b57d"/>
        <w:sz w:val="24"/>
        <w:szCs w:val="24"/>
      </w:rPr>
    </w:pPr>
    <w:r w:rsidDel="00000000" w:rsidR="00000000" w:rsidRPr="00000000">
      <w:rPr>
        <w:rtl w:val="0"/>
      </w:rPr>
    </w:r>
  </w:p>
  <w:p w:rsidR="00000000" w:rsidDel="00000000" w:rsidP="00000000" w:rsidRDefault="00000000" w:rsidRPr="00000000" w14:paraId="00000032">
    <w:pPr>
      <w:tabs>
        <w:tab w:val="center" w:leader="none" w:pos="4680"/>
        <w:tab w:val="right" w:leader="none" w:pos="9360"/>
      </w:tabs>
      <w:spacing w:line="240" w:lineRule="auto"/>
      <w:rPr>
        <w:color w:val="00b57d"/>
      </w:rPr>
    </w:pPr>
    <w:r w:rsidDel="00000000" w:rsidR="00000000" w:rsidRPr="00000000">
      <w:rPr>
        <w:rFonts w:ascii="Calibri" w:cs="Calibri" w:eastAsia="Calibri" w:hAnsi="Calibri"/>
        <w:color w:val="00b57d"/>
        <w:sz w:val="24"/>
        <w:szCs w:val="24"/>
      </w:rPr>
      <w:drawing>
        <wp:inline distB="114300" distT="114300" distL="114300" distR="114300">
          <wp:extent cx="190500" cy="190500"/>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b57d"/>
        <w:sz w:val="24"/>
        <w:szCs w:val="24"/>
        <w:rtl w:val="0"/>
      </w:rPr>
      <w:t xml:space="preserve"> </w:t>
    </w:r>
    <w:hyperlink r:id="rId3">
      <w:r w:rsidDel="00000000" w:rsidR="00000000" w:rsidRPr="00000000">
        <w:rPr>
          <w:rFonts w:ascii="Calibri" w:cs="Calibri" w:eastAsia="Calibri" w:hAnsi="Calibri"/>
          <w:color w:val="00b57d"/>
          <w:sz w:val="24"/>
          <w:szCs w:val="24"/>
          <w:rtl w:val="0"/>
        </w:rPr>
        <w:t xml:space="preserve">home.edurio.com</w:t>
      </w:r>
    </w:hyperlink>
    <w:r w:rsidDel="00000000" w:rsidR="00000000" w:rsidRPr="00000000">
      <w:rPr>
        <w:rFonts w:ascii="Calibri" w:cs="Calibri" w:eastAsia="Calibri" w:hAnsi="Calibri"/>
        <w:color w:val="00b57d"/>
        <w:sz w:val="24"/>
        <w:szCs w:val="24"/>
        <w:rtl w:val="0"/>
      </w:rPr>
      <w:tab/>
      <w:tab/>
      <w:t xml:space="preserve">   </w:t>
    </w:r>
    <w:hyperlink r:id="rId4">
      <w:r w:rsidDel="00000000" w:rsidR="00000000" w:rsidRPr="00000000">
        <w:rPr>
          <w:rFonts w:ascii="Calibri" w:cs="Calibri" w:eastAsia="Calibri" w:hAnsi="Calibri"/>
          <w:color w:val="00b57d"/>
          <w:sz w:val="24"/>
          <w:szCs w:val="24"/>
          <w:rtl w:val="0"/>
        </w:rPr>
        <w:t xml:space="preserve">hello@edurio.com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6419850</wp:posOffset>
          </wp:positionH>
          <wp:positionV relativeFrom="page">
            <wp:posOffset>266700</wp:posOffset>
          </wp:positionV>
          <wp:extent cx="919163" cy="382984"/>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19163" cy="38298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Open Sans" w:cs="Open Sans" w:eastAsia="Open Sans" w:hAnsi="Open Sans"/>
      <w:b w:val="1"/>
      <w:bCs w:val="1"/>
      <w:sz w:val="40"/>
      <w:szCs w:val="40"/>
    </w:rPr>
  </w:style>
  <w:style w:type="paragraph" w:styleId="Heading2">
    <w:name w:val="heading 2"/>
    <w:basedOn w:val="Normal"/>
    <w:next w:val="Normal"/>
    <w:pPr>
      <w:keepNext w:val="1"/>
      <w:keepLines w:val="1"/>
    </w:pPr>
    <w:rPr>
      <w:rFonts w:ascii="Open Sans" w:cs="Open Sans" w:eastAsia="Open Sans" w:hAnsi="Open Sans"/>
      <w:b w:val="1"/>
      <w:bCs w:val="1"/>
      <w:color w:val="00b57d"/>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hyperlink" Target="http://home.edurio.com" TargetMode="External"/><Relationship Id="rId4" Type="http://schemas.openxmlformats.org/officeDocument/2006/relationships/hyperlink" Target="mailto:hello@edur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